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60" w:lineRule="auto"/>
        <w:jc w:val="center"/>
      </w:pPr>
      <w:r>
        <w:rPr>
          <w:rFonts w:ascii="黑体" w:hAnsi="黑体" w:eastAsia="黑体"/>
          <w:b/>
          <w:sz w:val="44"/>
        </w:rPr>
        <w:t>联合策划服务合作协议</w:t>
      </w:r>
    </w:p>
    <w:p>
      <w:pPr>
        <w:spacing w:after="280" w:before="0" w:line="360" w:lineRule="auto"/>
        <w:jc w:val="center"/>
      </w:pPr>
      <w:r>
        <w:rPr>
          <w:rFonts w:ascii="黑体" w:hAnsi="黑体" w:eastAsia="黑体"/>
          <w:b/>
          <w:color w:val="003D2E"/>
          <w:sz w:val="24"/>
        </w:rPr>
        <w:t>（供审阅）</w:t>
      </w:r>
    </w:p>
    <w:p>
      <w:pPr>
        <w:spacing w:after="40" w:line="360" w:lineRule="auto"/>
        <w:ind w:firstLine="0"/>
        <w:jc w:val="both"/>
      </w:pPr>
      <w:r>
        <w:rPr>
          <w:rFonts w:ascii="宋体" w:hAnsi="宋体" w:eastAsia="宋体"/>
          <w:b/>
          <w:sz w:val="24"/>
        </w:rPr>
        <w:t>甲方：</w:t>
      </w:r>
      <w:r>
        <w:rPr>
          <w:rFonts w:ascii="宋体" w:hAnsi="宋体" w:eastAsia="宋体"/>
          <w:b w:val="0"/>
          <w:sz w:val="24"/>
        </w:rPr>
        <w:t>复旦大学住房政策研究中心、上海市杨浦区科技企业联合会</w:t>
      </w:r>
    </w:p>
    <w:p>
      <w:pPr>
        <w:spacing w:after="40" w:line="360" w:lineRule="auto"/>
        <w:ind w:firstLine="0"/>
        <w:jc w:val="both"/>
      </w:pPr>
      <w:r>
        <w:rPr>
          <w:rFonts w:ascii="宋体" w:hAnsi="宋体" w:eastAsia="宋体"/>
          <w:b/>
          <w:sz w:val="24"/>
        </w:rPr>
        <w:t>甲方指定结算主体：</w:t>
      </w:r>
      <w:r>
        <w:rPr>
          <w:rFonts w:ascii="宋体" w:hAnsi="宋体" w:eastAsia="宋体"/>
          <w:b w:val="0"/>
          <w:sz w:val="24"/>
        </w:rPr>
        <w:t>【签署时填写】</w:t>
      </w:r>
    </w:p>
    <w:p>
      <w:pPr>
        <w:spacing w:after="40" w:line="360" w:lineRule="auto"/>
        <w:ind w:firstLine="0"/>
        <w:jc w:val="both"/>
      </w:pPr>
      <w:r>
        <w:rPr>
          <w:rFonts w:ascii="宋体" w:hAnsi="宋体" w:eastAsia="宋体"/>
          <w:b/>
          <w:sz w:val="24"/>
        </w:rPr>
        <w:t>乙方：</w:t>
      </w:r>
      <w:r>
        <w:rPr>
          <w:rFonts w:ascii="宋体" w:hAnsi="宋体" w:eastAsia="宋体"/>
          <w:b w:val="0"/>
          <w:sz w:val="24"/>
        </w:rPr>
        <w:t>香港大学经管学院（执行机构：香港大学经管学院上海中心）</w:t>
      </w:r>
    </w:p>
    <w:p>
      <w:pPr>
        <w:spacing w:after="40" w:line="360" w:lineRule="auto"/>
        <w:ind w:firstLine="0"/>
        <w:jc w:val="both"/>
      </w:pPr>
      <w:r>
        <w:rPr>
          <w:rFonts w:ascii="宋体" w:hAnsi="宋体" w:eastAsia="宋体"/>
          <w:b/>
          <w:sz w:val="24"/>
        </w:rPr>
        <w:t>乙方联系人：</w:t>
      </w:r>
      <w:r>
        <w:rPr>
          <w:rFonts w:ascii="宋体" w:hAnsi="宋体" w:eastAsia="宋体"/>
          <w:b w:val="0"/>
          <w:sz w:val="24"/>
        </w:rPr>
        <w:t>潘嘉琰　　电话：(86) 180 1860 6086　　邮箱：jyanpan@hku.hk</w:t>
      </w:r>
    </w:p>
    <w:p>
      <w:pPr>
        <w:spacing w:after="240" w:before="0" w:line="360" w:lineRule="auto"/>
        <w:jc w:val="left"/>
      </w:pPr>
      <w:r>
        <w:rPr>
          <w:rFonts w:ascii="宋体" w:hAnsi="宋体" w:eastAsia="宋体"/>
          <w:b w:val="0"/>
          <w:sz w:val="24"/>
        </w:rPr>
        <w:t>乙方地址：上海市人民路336号外滩SOHO F栋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甲乙双方拟在上海就乙方EMBA招生宣传、企业出海主题专题课、以及邀请乙方上海中心主任出席相关活动，作为一次合作办理。为明确各自工作、费用和交付事项，订立本协议。本协议签署前供乙方审阅，签署后生效。</w:t>
      </w:r>
    </w:p>
    <w:p>
      <w:pPr>
        <w:spacing w:after="160" w:before="240" w:line="360" w:lineRule="auto"/>
        <w:jc w:val="left"/>
      </w:pPr>
      <w:r>
        <w:rPr>
          <w:rFonts w:ascii="黑体" w:hAnsi="黑体" w:eastAsia="黑体"/>
          <w:b/>
          <w:color w:val="003D2E"/>
          <w:sz w:val="28"/>
        </w:rPr>
        <w:t>第一条　合作事项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1.1 双方就乙方EMBA在华东、华中的招生宣传进行合作。甲方按乙方告知的常见门槛准备拟邀请名单（人数不少于八十人），并从中组织三十至四十人到乙方上海中心参加专题课。课后由乙方招生人员与来宾单独沟通。录取、面试、学位由乙方按学院规定办理，甲方不得代为承诺，双方不按学费或录取人数分成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1.2 上述专题课以企业出海、赴港上市为主题，地点在乙方上海中心（外滩SOHO F栋）。乙方安排场地和老师，甲方负责邀请和现场。本场专题课即为第1.1款招生工作的现场，不另办招生说明会，也不就本场专题课另收费。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1.3 甲方另安排一场出海主题活动（可含总领事或企业负责人出席的场次），请乙方联系人转达，邀请乙方上海中心主任出席。该项与第1.1款、第1.2款同属一次合作，含在第三条费用之内，不另收费、不单开报价。主任是否出席，以乙方安排为准。甲方发出书面邀请、活动如期举办，即完成本项工作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1.4 港大本部出海课程的推广、原创谷、学生在沪实习参访等事项，双方可另行商议，不列入本协议交付，也不另收费。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1.5 本协议不是招生代理，不按学费或录取人数分成，也不是联合办学。任何一方不得称对方为自己的下属机构，也不得对外宣称双方合办学位。</w:t>
      </w:r>
    </w:p>
    <w:p>
      <w:pPr>
        <w:spacing w:after="160" w:before="240" w:line="360" w:lineRule="auto"/>
        <w:jc w:val="left"/>
      </w:pPr>
      <w:r>
        <w:rPr>
          <w:rFonts w:ascii="黑体" w:hAnsi="黑体" w:eastAsia="黑体"/>
          <w:b/>
          <w:color w:val="003D2E"/>
          <w:sz w:val="28"/>
        </w:rPr>
        <w:t>第二条　各自工作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2.1 乙方负责：提供上海中心场地和名义；安排老师或校友；书面告知EMBA初筛条件；课后招生跟进；协助邀请中心主任；决定录取和学位。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2.2 甲方负责：九十天内的筹备；按门槛准备拟邀请名单；外滩专题课现场；请主任出席的那一场活动；课后七日内提交纪要和有意向人员说明；开具发票、收取费用。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2.3 乙方指定潘嘉琰为日常联系人。甲方指定项目负责人一名，于本协议生效后三个工作日内书面告知乙方。超出招生宣传范围、需中心主任决定的事项，由联系人转达，联系人无义务代为答应。</w:t>
      </w:r>
    </w:p>
    <w:p>
      <w:pPr>
        <w:spacing w:after="160" w:before="240" w:line="360" w:lineRule="auto"/>
        <w:jc w:val="left"/>
      </w:pPr>
      <w:r>
        <w:rPr>
          <w:rFonts w:ascii="黑体" w:hAnsi="黑体" w:eastAsia="黑体"/>
          <w:b/>
          <w:color w:val="003D2E"/>
          <w:sz w:val="28"/>
        </w:rPr>
        <w:t>第三条　费用与支付</w:t>
      </w:r>
    </w:p>
    <w:p>
      <w:pPr>
        <w:spacing w:after="12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3.1 乙方向甲方指定结算主体支付前期工作费用</w:t>
      </w:r>
      <w:r>
        <w:rPr>
          <w:rFonts w:ascii="宋体" w:hAnsi="宋体" w:eastAsia="宋体"/>
          <w:b/>
          <w:sz w:val="24"/>
        </w:rPr>
        <w:t>人民币捌万捌仟元整（¥88,000）</w:t>
      </w:r>
      <w:r>
        <w:rPr>
          <w:rFonts w:ascii="宋体" w:hAnsi="宋体" w:eastAsia="宋体"/>
          <w:b w:val="0"/>
          <w:sz w:val="24"/>
        </w:rPr>
        <w:t>。该费用为包干，覆盖第一条所列EMBA招生宣传、出海专题课、邀请中心主任出席三项工作，不就其中任何一项单独加收。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3.2 本协议生效后十个工作日内一次付清。甲方收到款项后五个工作日内开具增值税发票。票种和税率以结算主体资质为准，签署前书面确认。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3.3 逾期未付的，甲方可以暂停筹备，日期顺延。逾期超过十五个工作日仍未付清的，甲方可以书面解除本协议，乙方按已发生费用结算，且不少于费用总额的百分之三十。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3.4 费用到账前，甲方没有义务提交完整名单或对外发出正式邀请。双方可以先商定日期。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3.5 本协议范围以外的工作，须另行书面确认。第二场及以后，建议每场人民币陆万捌仟元整，另签确认单后才生效。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3.6 收款账户于签署时填写：开户名称________；开户银行________；账号________；纳税人识别号________。</w:t>
      </w:r>
    </w:p>
    <w:p>
      <w:pPr>
        <w:spacing w:after="160" w:before="240" w:line="360" w:lineRule="auto"/>
        <w:jc w:val="left"/>
      </w:pPr>
      <w:r>
        <w:rPr>
          <w:rFonts w:ascii="黑体" w:hAnsi="黑体" w:eastAsia="黑体"/>
          <w:b/>
          <w:color w:val="003D2E"/>
          <w:sz w:val="28"/>
        </w:rPr>
        <w:t>第四条　交付与确认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4.1 甲方提交拟邀请名单初稿，人数不少于八十人，并按乙方告知的EMBA常见门槛初筛。乙方在五个工作日内提出书面意见，逾期视为没有意见。名单供工作使用，不保证每一个人都到场。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4.2 专题课完成后七日内，甲方提交纪要、来宾情况说明，以及有意向继续了解EMBA的人员说明。因不可抗力、乙方改期或乙方未按时确定老师，影响人数的，不视为甲方违约。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4.3 请主任出席一项，以甲方书面邀请为凭。主任未出席，不视为甲方违约，也不因此减收或另收费用。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4.4 录取人数、学费收入不作为确认条件。</w:t>
      </w:r>
    </w:p>
    <w:p>
      <w:pPr>
        <w:spacing w:after="160" w:before="240" w:line="360" w:lineRule="auto"/>
        <w:jc w:val="left"/>
      </w:pPr>
      <w:r>
        <w:rPr>
          <w:rFonts w:ascii="黑体" w:hAnsi="黑体" w:eastAsia="黑体"/>
          <w:b/>
          <w:color w:val="003D2E"/>
          <w:sz w:val="28"/>
        </w:rPr>
        <w:t>第五条　名单与名义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5.1 因本协议形成的来宾名单由双方共同使用，不得提供给无关第三方，也不得用于与本次合作无关的推销。本协议结束后十二个月内，仅可用于本次已开始的招生跟进。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5.2 使用对方名称、校徽、场地照片，须事先书面同意，并符合对方规定。港大课程内容和招生办法，以乙方公布的文本为准。</w:t>
      </w:r>
    </w:p>
    <w:p>
      <w:pPr>
        <w:spacing w:after="160" w:before="240" w:line="360" w:lineRule="auto"/>
        <w:jc w:val="left"/>
      </w:pPr>
      <w:r>
        <w:rPr>
          <w:rFonts w:ascii="黑体" w:hAnsi="黑体" w:eastAsia="黑体"/>
          <w:b/>
          <w:color w:val="003D2E"/>
          <w:sz w:val="28"/>
        </w:rPr>
        <w:t>第六条　期限、变更与解除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6.1 本协议自双方签署且第三条费用到账之日起生效，有效期九十日。期满结束，续做须另签。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6.2 日期、题目、老师等安排，可用邮件或盖章确认单变更，不改变第三条费用。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6.3 一方严重违约，书面催告十个工作日仍不改正的，另一方可解除。因乙方原因取消专题课且不同意改期的，费用不退。因甲方原因未能举办专题课、且九十日内无法改期的，甲方应在十五个工作日内退还费用的百分之五十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6.4 因不可抗力不能履行的，双方协商改期；仍不能履行的，按已发生费用结算后解除。</w:t>
      </w:r>
    </w:p>
    <w:p>
      <w:pPr>
        <w:spacing w:after="160" w:before="240" w:line="360" w:lineRule="auto"/>
        <w:jc w:val="left"/>
      </w:pPr>
      <w:r>
        <w:rPr>
          <w:rFonts w:ascii="黑体" w:hAnsi="黑体" w:eastAsia="黑体"/>
          <w:b/>
          <w:color w:val="003D2E"/>
          <w:sz w:val="28"/>
        </w:rPr>
        <w:t>第七条　其他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7.1 双方对未公开的信息和名单保密，至本协议结束后两年。法律法规要求披露的除外。活动内容应遵守教育、广告、外事和港澳有关规定。甲方不代理签证，不承诺录取。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7.2 因本协议发生争议，先协商；协商不成的，由甲方指定结算主体所在地有管辖权的人民法院处理。结算主体尚未确定的，由上海市黄浦区人民法院管辖。适用中华人民共和国法律。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7.3 本协议一式四份，双方各执两份。电子印章或扫描件与原件相同。未尽事宜可签补充协议。随附的汇报材料仅供说明，与本协议不一致的，以本协议为准。</w:t>
      </w:r>
    </w:p>
    <w:p>
      <w:pPr>
        <w:spacing w:after="120" w:before="0" w:line="360" w:lineRule="auto"/>
        <w:ind w:firstLine="420"/>
        <w:jc w:val="both"/>
      </w:pPr>
      <w:r>
        <w:rPr>
          <w:rFonts w:ascii="宋体" w:hAnsi="宋体" w:eastAsia="宋体"/>
          <w:b w:val="0"/>
          <w:sz w:val="24"/>
        </w:rPr>
        <w:t>7.4 乙方签署主体以香港大学经管学院认可的有权机构为准。甲方签署时须写明结算主体全称、统一社会信用代码和开票信息。</w:t>
      </w:r>
    </w:p>
    <w:p>
      <w:pPr>
        <w:spacing w:after="320" w:before="320" w:line="360" w:lineRule="auto"/>
        <w:jc w:val="center"/>
      </w:pPr>
      <w:r>
        <w:rPr>
          <w:rFonts w:ascii="宋体" w:hAnsi="宋体" w:eastAsia="宋体"/>
          <w:b w:val="0"/>
          <w:sz w:val="24"/>
        </w:rPr>
        <w:t>（以下无正文，为签署页）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03D2E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甲方</w:t>
            </w:r>
          </w:p>
        </w:tc>
        <w:tc>
          <w:tcPr>
            <w:tcW w:type="dxa" w:w="4533"/>
            <w:shd w:val="clear" w:color="auto" w:fill="003D2E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乙方</w:t>
            </w:r>
          </w:p>
        </w:tc>
      </w:tr>
      <w:tr>
        <w:tc>
          <w:tcPr>
            <w:tcW w:type="dxa" w:w="4533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复旦大学住房政策研究中心、上海市杨浦区科技企业联合会</w:t>
            </w:r>
          </w:p>
        </w:tc>
        <w:tc>
          <w:tcPr>
            <w:tcW w:type="dxa" w:w="4533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香港大学经管学院</w:t>
            </w:r>
          </w:p>
        </w:tc>
      </w:tr>
      <w:tr>
        <w:tc>
          <w:tcPr>
            <w:tcW w:type="dxa" w:w="4533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指定结算主体：</w:t>
            </w:r>
          </w:p>
        </w:tc>
        <w:tc>
          <w:tcPr>
            <w:tcW w:type="dxa" w:w="4533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执行机构：香港大学经管学院上海中心</w:t>
            </w:r>
          </w:p>
        </w:tc>
      </w:tr>
      <w:tr>
        <w:tc>
          <w:tcPr>
            <w:tcW w:type="dxa" w:w="4533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统一社会信用代码：</w:t>
            </w:r>
          </w:p>
        </w:tc>
        <w:tc>
          <w:tcPr>
            <w:tcW w:type="dxa" w:w="4533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有权签署机构：</w:t>
            </w:r>
          </w:p>
        </w:tc>
      </w:tr>
      <w:tr>
        <w:tc>
          <w:tcPr>
            <w:tcW w:type="dxa" w:w="4533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授权代表（签字）：</w:t>
            </w:r>
          </w:p>
        </w:tc>
        <w:tc>
          <w:tcPr>
            <w:tcW w:type="dxa" w:w="4533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授权代表（签字）：</w:t>
            </w:r>
          </w:p>
        </w:tc>
      </w:tr>
      <w:tr>
        <w:tc>
          <w:tcPr>
            <w:tcW w:type="dxa" w:w="4533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职务：</w:t>
            </w:r>
          </w:p>
        </w:tc>
        <w:tc>
          <w:tcPr>
            <w:tcW w:type="dxa" w:w="4533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职务：</w:t>
            </w:r>
          </w:p>
        </w:tc>
      </w:tr>
      <w:tr>
        <w:tc>
          <w:tcPr>
            <w:tcW w:type="dxa" w:w="4533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日期：　　年　　月　　日</w:t>
            </w:r>
          </w:p>
        </w:tc>
        <w:tc>
          <w:tcPr>
            <w:tcW w:type="dxa" w:w="4533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日期：　　年　　月　　日</w:t>
            </w:r>
          </w:p>
        </w:tc>
      </w:tr>
      <w:tr>
        <w:tc>
          <w:tcPr>
            <w:tcW w:type="dxa" w:w="4533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联系人：</w:t>
            </w:r>
          </w:p>
        </w:tc>
        <w:tc>
          <w:tcPr>
            <w:tcW w:type="dxa" w:w="4533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联系人：潘嘉琰</w:t>
            </w:r>
          </w:p>
        </w:tc>
      </w:tr>
      <w:tr>
        <w:tc>
          <w:tcPr>
            <w:tcW w:type="dxa" w:w="4533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电话：</w:t>
            </w:r>
          </w:p>
        </w:tc>
        <w:tc>
          <w:tcPr>
            <w:tcW w:type="dxa" w:w="4533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电话：(86) 180 1860 6086</w:t>
            </w:r>
          </w:p>
        </w:tc>
      </w:tr>
      <w:tr>
        <w:tc>
          <w:tcPr>
            <w:tcW w:type="dxa" w:w="4533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开户行：</w:t>
            </w:r>
          </w:p>
        </w:tc>
        <w:tc>
          <w:tcPr>
            <w:tcW w:type="dxa" w:w="4533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邮箱：jyanpan@hku.hk</w:t>
            </w:r>
          </w:p>
        </w:tc>
      </w:tr>
      <w:tr>
        <w:tc>
          <w:tcPr>
            <w:tcW w:type="dxa" w:w="4533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账号：</w:t>
            </w:r>
          </w:p>
        </w:tc>
        <w:tc>
          <w:tcPr>
            <w:tcW w:type="dxa" w:w="4533"/>
          </w:tcPr>
          <w:p>
            <w:pPr>
              <w:spacing w:after="40" w:before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盖章：</w:t>
            </w:r>
          </w:p>
        </w:tc>
      </w:tr>
    </w:tbl>
    <w:sectPr w:rsidR="00FC693F" w:rsidRPr="0006063C" w:rsidSect="00034616"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