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Rule="auto" w:line="317"/>
        <w:jc w:val="center"/>
      </w:pPr>
      <w:r>
        <w:rPr>
          <w:rFonts w:ascii="微软雅黑" w:hAnsi="微软雅黑" w:eastAsia="宋体" w:cs="微软雅黑"/>
          <w:b/>
          <w:i w:val="0"/>
          <w:color w:val="B88A2E"/>
          <w:sz w:val="22"/>
        </w:rPr>
        <w:t>复兴岛星火社区  ·  OPC入驻申请</w:t>
      </w:r>
    </w:p>
    <w:p>
      <w:pPr>
        <w:spacing w:after="80" w:before="0" w:lineRule="auto" w:line="317"/>
        <w:jc w:val="center"/>
      </w:pPr>
      <w:r>
        <w:rPr>
          <w:rFonts w:ascii="微软雅黑" w:hAnsi="微软雅黑" w:eastAsia="宋体" w:cs="微软雅黑"/>
          <w:b/>
          <w:i w:val="0"/>
          <w:color w:val="1A3A5C"/>
          <w:sz w:val="40"/>
        </w:rPr>
        <w:t>AIDEN产业智能体</w:t>
      </w:r>
    </w:p>
    <w:p>
      <w:pPr>
        <w:spacing w:after="120" w:before="0" w:lineRule="auto" w:line="317"/>
        <w:jc w:val="center"/>
      </w:pPr>
      <w:r>
        <w:rPr>
          <w:rFonts w:ascii="微软雅黑" w:hAnsi="微软雅黑" w:eastAsia="宋体" w:cs="微软雅黑"/>
          <w:b/>
          <w:i w:val="0"/>
          <w:color w:val="1F6B5C"/>
          <w:sz w:val="26"/>
        </w:rPr>
        <w:t>复兴岛星火社区入驻业务计划书</w:t>
      </w:r>
    </w:p>
    <w:p>
      <w:pPr>
        <w:spacing w:after="200" w:before="0" w:lineRule="auto" w:line="317"/>
        <w:jc w:val="center"/>
      </w:pPr>
      <w:r>
        <w:rPr>
          <w:rFonts w:ascii="微软雅黑" w:hAnsi="微软雅黑" w:eastAsia="宋体" w:cs="微软雅黑"/>
          <w:b w:val="0"/>
          <w:i w:val="0"/>
          <w:color w:val="555555"/>
          <w:sz w:val="21"/>
        </w:rPr>
        <w:t>AI智能体开发  ·  产业智库型OPC  ·  首期：政策研究智能体</w:t>
      </w:r>
    </w:p>
    <w:p>
      <w:pPr>
        <w:spacing w:after="60" w:before="0" w:lineRule="auto" w:line="317"/>
        <w:jc w:val="center"/>
      </w:pPr>
      <w:r>
        <w:rPr>
          <w:rFonts w:ascii="微软雅黑" w:hAnsi="微软雅黑" w:eastAsia="宋体" w:cs="微软雅黑"/>
          <w:b w:val="0"/>
          <w:i w:val="0"/>
          <w:color w:val="222222"/>
          <w:sz w:val="22"/>
        </w:rPr>
        <w:t>申请人：胡继刚</w:t>
      </w:r>
    </w:p>
    <w:p>
      <w:pPr>
        <w:spacing w:after="60" w:before="0" w:lineRule="auto" w:line="317"/>
        <w:jc w:val="center"/>
      </w:pPr>
      <w:r>
        <w:rPr>
          <w:rFonts w:ascii="微软雅黑" w:hAnsi="微软雅黑" w:eastAsia="宋体" w:cs="微软雅黑"/>
          <w:b w:val="0"/>
          <w:i w:val="0"/>
          <w:color w:val="222222"/>
          <w:sz w:val="22"/>
        </w:rPr>
        <w:t>赛道：AI智能体开发</w:t>
      </w:r>
    </w:p>
    <w:p>
      <w:pPr>
        <w:spacing w:after="60" w:before="0" w:lineRule="auto" w:line="317"/>
        <w:jc w:val="center"/>
      </w:pPr>
      <w:r>
        <w:rPr>
          <w:rFonts w:ascii="微软雅黑" w:hAnsi="微软雅黑" w:eastAsia="宋体" w:cs="微软雅黑"/>
          <w:b w:val="0"/>
          <w:i w:val="0"/>
          <w:color w:val="222222"/>
          <w:sz w:val="22"/>
        </w:rPr>
        <w:t>首期产品：政策研究智能体（正在产品化）</w:t>
      </w:r>
    </w:p>
    <w:p>
      <w:pPr>
        <w:spacing w:after="60" w:before="0" w:lineRule="auto" w:line="317"/>
        <w:jc w:val="center"/>
      </w:pPr>
      <w:r>
        <w:rPr>
          <w:rFonts w:ascii="微软雅黑" w:hAnsi="微软雅黑" w:eastAsia="宋体" w:cs="微软雅黑"/>
          <w:b w:val="0"/>
          <w:i w:val="0"/>
          <w:color w:val="222222"/>
          <w:sz w:val="22"/>
        </w:rPr>
        <w:t>拟定主体：上海艾登智能科技有限公司（待核名）</w:t>
      </w:r>
    </w:p>
    <w:p>
      <w:pPr>
        <w:spacing w:after="80" w:before="160" w:lineRule="auto" w:line="317"/>
        <w:jc w:val="center"/>
      </w:pPr>
      <w:r>
        <w:rPr>
          <w:rFonts w:ascii="微软雅黑" w:hAnsi="微软雅黑" w:eastAsia="宋体" w:cs="微软雅黑"/>
          <w:b w:val="0"/>
          <w:i w:val="0"/>
          <w:color w:val="222222"/>
          <w:sz w:val="22"/>
        </w:rPr>
        <w:t>2026年9月6日  最终稿</w:t>
      </w:r>
    </w:p>
    <w:p>
      <w:pPr>
        <w:spacing w:after="200" w:before="320" w:lineRule="auto" w:line="317"/>
        <w:jc w:val="left"/>
        <w:pBdr>
          <w:bottom w:val="single" w:sz="12" w:space="3" w:color="B88A2E"/>
        </w:pBdr>
      </w:pPr>
      <w:r>
        <w:rPr>
          <w:rFonts w:ascii="微软雅黑" w:hAnsi="微软雅黑" w:eastAsia="宋体" w:cs="微软雅黑"/>
          <w:b/>
          <w:i w:val="0"/>
          <w:color w:val="1A3A5C"/>
          <w:sz w:val="32"/>
        </w:rPr>
        <w:t>一、项目概述</w:t>
      </w:r>
    </w:p>
    <w:p>
      <w:pPr>
        <w:spacing w:after="160" w:before="0" w:lineRule="auto" w:line="317"/>
        <w:ind w:firstLine="420"/>
        <w:jc w:val="both"/>
      </w:pPr>
      <w:r>
        <w:rPr>
          <w:rFonts w:ascii="微软雅黑" w:hAnsi="微软雅黑" w:eastAsia="宋体" w:cs="微软雅黑"/>
          <w:b w:val="0"/>
          <w:i w:val="0"/>
          <w:color w:val="222222"/>
          <w:sz w:val="22"/>
        </w:rPr>
        <w:t>项目名称：AIDEN产业智能体。申报赛道：AI智能体开发。定位：「AI+产业研究+科技企业服务」的产业智库型OPC。组织方式：1名创始人负责运营，调用智能体完成检索、结构化、起草，经人工复核后交付；初期不另聘全职员工。</w:t>
      </w:r>
    </w:p>
    <w:p>
      <w:pPr>
        <w:spacing w:after="160" w:before="0" w:lineRule="auto" w:line="317"/>
        <w:ind w:firstLine="420"/>
        <w:jc w:val="both"/>
      </w:pPr>
      <w:r>
        <w:rPr>
          <w:rFonts w:ascii="微软雅黑" w:hAnsi="微软雅黑" w:eastAsia="宋体" w:cs="微软雅黑"/>
          <w:b w:val="0"/>
          <w:i w:val="0"/>
          <w:color w:val="222222"/>
          <w:sz w:val="22"/>
        </w:rPr>
        <w:t>要解决的问题：科技企业、园区和街道在适用政策、判断产业方向、做招商匹配和城市更新对照时，公开文本分散，通用对话难以稳定提供带来源、有效期和适用条件的结果。</w:t>
      </w:r>
    </w:p>
    <w:p>
      <w:pPr>
        <w:spacing w:after="160" w:before="0" w:lineRule="auto" w:line="317"/>
        <w:ind w:firstLine="420"/>
        <w:jc w:val="both"/>
      </w:pPr>
      <w:r>
        <w:rPr>
          <w:rFonts w:ascii="微软雅黑" w:hAnsi="微软雅黑" w:eastAsia="宋体" w:cs="微软雅黑"/>
          <w:b w:val="0"/>
          <w:i w:val="0"/>
          <w:color w:val="222222"/>
          <w:sz w:val="22"/>
        </w:rPr>
        <w:t>产品为四类智能体：政策研究、产业研究、企业画像与招商匹配、城市更新案例库。首期聚焦政策研究智能体，其余分阶段开发。活动方案、研讨材料和会务协同仅作为经授权的配套业务，不是主产品。</w:t>
      </w:r>
    </w:p>
    <w:p>
      <w:pPr>
        <w:spacing w:after="160" w:before="0" w:lineRule="auto" w:line="317"/>
        <w:ind w:firstLine="420"/>
        <w:jc w:val="both"/>
      </w:pPr>
      <w:r>
        <w:rPr>
          <w:rFonts w:ascii="微软雅黑" w:hAnsi="微软雅黑" w:eastAsia="宋体" w:cs="微软雅黑"/>
          <w:b w:val="0"/>
          <w:i w:val="0"/>
          <w:color w:val="222222"/>
          <w:sz w:val="22"/>
        </w:rPr>
        <w:t>本项目由胡继刚个人发起，目前尚未在杨浦注册OPC公司，拟入驻后依法设立新主体。申请人参与的高校研究平台及社会组织为个人研究与工作背景，不作为本项目经营主体。</w:t>
      </w:r>
    </w:p>
    <w:p>
      <w:pPr>
        <w:spacing w:after="200" w:before="320" w:lineRule="auto" w:line="317"/>
        <w:jc w:val="left"/>
        <w:pBdr>
          <w:bottom w:val="single" w:sz="12" w:space="3" w:color="B88A2E"/>
        </w:pBdr>
      </w:pPr>
      <w:r>
        <w:rPr>
          <w:rFonts w:ascii="微软雅黑" w:hAnsi="微软雅黑" w:eastAsia="宋体" w:cs="微软雅黑"/>
          <w:b/>
          <w:i w:val="0"/>
          <w:color w:val="1A3A5C"/>
          <w:sz w:val="32"/>
        </w:rPr>
        <w:t>二、用户与四类产品</w:t>
      </w:r>
    </w:p>
    <w:p>
      <w:pPr>
        <w:spacing w:after="160" w:before="0" w:lineRule="auto" w:line="317"/>
        <w:ind w:firstLine="420"/>
        <w:jc w:val="both"/>
      </w:pPr>
      <w:r>
        <w:rPr>
          <w:rFonts w:ascii="微软雅黑" w:hAnsi="微软雅黑" w:eastAsia="宋体" w:cs="微软雅黑"/>
          <w:b w:val="0"/>
          <w:i w:val="0"/>
          <w:color w:val="222222"/>
          <w:sz w:val="22"/>
        </w:rPr>
        <w:t>主要用户为科技型中小企业、园区与街道产业服务部门、科技园区运营和招商人员。政策研究智能体服务「这家企业能用哪些政策」；产业研究智能体服务议题简报；企业画像与招商匹配智能体服务园区招商对照；城市更新案例库智能体服务相似案例检索。</w:t>
      </w:r>
    </w:p>
    <w:p>
      <w:pPr>
        <w:spacing w:after="160" w:before="0" w:lineRule="auto" w:line="317"/>
        <w:ind w:firstLine="420"/>
        <w:jc w:val="both"/>
      </w:pPr>
      <w:r>
        <w:rPr>
          <w:rFonts w:ascii="微软雅黑" w:hAnsi="微软雅黑" w:eastAsia="宋体" w:cs="微软雅黑"/>
          <w:b w:val="0"/>
          <w:i w:val="0"/>
          <w:color w:val="222222"/>
          <w:sz w:val="22"/>
        </w:rPr>
        <w:t>每类产品均按同一口径描述：用户输入什么、系统完成什么、最终输出什么。首期只把政策研究做到可当面演示清单输出；其余三类不在第一年并行铺开。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60"/>
        <w:gridCol w:w="1860"/>
        <w:gridCol w:w="1860"/>
        <w:gridCol w:w="1860"/>
        <w:gridCol w:w="1860"/>
      </w:tblGrid>
      <w:tr>
        <w:tc>
          <w:tcPr>
            <w:tcW w:type="dxa" w:w="1860"/>
            <w:shd w:fill="1A3A5C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微软雅黑" w:hAnsi="微软雅黑" w:eastAsia="宋体" w:cs="微软雅黑"/>
                <w:b/>
                <w:color w:val="FFFFFF"/>
                <w:sz w:val="20"/>
              </w:rPr>
              <w:t>产品</w:t>
            </w:r>
          </w:p>
        </w:tc>
        <w:tc>
          <w:tcPr>
            <w:tcW w:type="dxa" w:w="1860"/>
            <w:shd w:fill="1A3A5C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微软雅黑" w:hAnsi="微软雅黑" w:eastAsia="宋体" w:cs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1860"/>
            <w:shd w:fill="1A3A5C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微软雅黑" w:hAnsi="微软雅黑" w:eastAsia="宋体" w:cs="微软雅黑"/>
                <w:b/>
                <w:color w:val="FFFFFF"/>
                <w:sz w:val="20"/>
              </w:rPr>
              <w:t>输入</w:t>
            </w:r>
          </w:p>
        </w:tc>
        <w:tc>
          <w:tcPr>
            <w:tcW w:type="dxa" w:w="1860"/>
            <w:shd w:fill="1A3A5C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微软雅黑" w:hAnsi="微软雅黑" w:eastAsia="宋体" w:cs="微软雅黑"/>
                <w:b/>
                <w:color w:val="FFFFFF"/>
                <w:sz w:val="20"/>
              </w:rPr>
              <w:t>系统完成</w:t>
            </w:r>
          </w:p>
        </w:tc>
        <w:tc>
          <w:tcPr>
            <w:tcW w:type="dxa" w:w="1860"/>
            <w:shd w:fill="1A3A5C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微软雅黑" w:hAnsi="微软雅黑" w:eastAsia="宋体" w:cs="微软雅黑"/>
                <w:b/>
                <w:color w:val="FFFFFF"/>
                <w:sz w:val="20"/>
              </w:rPr>
              <w:t>输出</w:t>
            </w:r>
          </w:p>
        </w:tc>
      </w:tr>
      <w:tr>
        <w:tc>
          <w:tcPr>
            <w:tcW w:type="dxa" w:w="1860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政策研究智能体</w:t>
            </w:r>
          </w:p>
        </w:tc>
        <w:tc>
          <w:tcPr>
            <w:tcW w:type="dxa" w:w="1860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首期 · 正在产品化</w:t>
            </w:r>
          </w:p>
        </w:tc>
        <w:tc>
          <w:tcPr>
            <w:tcW w:type="dxa" w:w="1860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企业基本情况、研究主题；可选已有材料。</w:t>
            </w:r>
          </w:p>
        </w:tc>
        <w:tc>
          <w:tcPr>
            <w:tcW w:type="dxa" w:w="1860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检索政策原文，抽取来源、有效期、适用条件，标出待人工确认事项。</w:t>
            </w:r>
          </w:p>
        </w:tc>
        <w:tc>
          <w:tcPr>
            <w:tcW w:type="dxa" w:w="1860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政策清单 + 适用说明 + 待确认事项。</w:t>
            </w:r>
          </w:p>
        </w:tc>
      </w:tr>
      <w:tr>
        <w:tc>
          <w:tcPr>
            <w:tcW w:type="dxa" w:w="1860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产业研究智能体</w:t>
            </w:r>
          </w:p>
        </w:tc>
        <w:tc>
          <w:tcPr>
            <w:tcW w:type="dxa" w:w="1860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分阶段开发</w:t>
            </w:r>
          </w:p>
        </w:tc>
        <w:tc>
          <w:tcPr>
            <w:tcW w:type="dxa" w:w="1860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行业问题、区域范围、公开数据或已有材料。</w:t>
            </w:r>
          </w:p>
        </w:tc>
        <w:tc>
          <w:tcPr>
            <w:tcW w:type="dxa" w:w="1860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检索公开信息、归纳结构、起草综述并标出待核实处。</w:t>
            </w:r>
          </w:p>
        </w:tc>
        <w:tc>
          <w:tcPr>
            <w:tcW w:type="dxa" w:w="1860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议题简报、白皮书初稿或一页纸结论。</w:t>
            </w:r>
          </w:p>
        </w:tc>
      </w:tr>
      <w:tr>
        <w:tc>
          <w:tcPr>
            <w:tcW w:type="dxa" w:w="1860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企业画像与招商匹配智能体</w:t>
            </w:r>
          </w:p>
        </w:tc>
        <w:tc>
          <w:tcPr>
            <w:tcW w:type="dxa" w:w="1860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分阶段开发</w:t>
            </w:r>
          </w:p>
        </w:tc>
        <w:tc>
          <w:tcPr>
            <w:tcW w:type="dxa" w:w="1860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企业公开信息、园区产业方向和招商条件。</w:t>
            </w:r>
          </w:p>
        </w:tc>
        <w:tc>
          <w:tcPr>
            <w:tcW w:type="dxa" w:w="1860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做标签化画像，按产业方向匹配，说明理由与缺口。</w:t>
            </w:r>
          </w:p>
        </w:tc>
        <w:tc>
          <w:tcPr>
            <w:tcW w:type="dxa" w:w="1860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企业画像卡、匹配说明（不承诺成交）。</w:t>
            </w:r>
          </w:p>
        </w:tc>
      </w:tr>
      <w:tr>
        <w:tc>
          <w:tcPr>
            <w:tcW w:type="dxa" w:w="1860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城市更新案例库智能体</w:t>
            </w:r>
          </w:p>
        </w:tc>
        <w:tc>
          <w:tcPr>
            <w:tcW w:type="dxa" w:w="1860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分阶段开发</w:t>
            </w:r>
          </w:p>
        </w:tc>
        <w:tc>
          <w:tcPr>
            <w:tcW w:type="dxa" w:w="1860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案例文本、规划说明、现场问题。</w:t>
            </w:r>
          </w:p>
        </w:tc>
        <w:tc>
          <w:tcPr>
            <w:tcW w:type="dxa" w:w="1860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切片入库、按问题检索相似案例，带着原文片段生成对照建议。</w:t>
            </w:r>
          </w:p>
        </w:tc>
        <w:tc>
          <w:tcPr>
            <w:tcW w:type="dxa" w:w="1860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案例卡 + 出处 + 对照表。</w:t>
            </w:r>
          </w:p>
        </w:tc>
      </w:tr>
    </w:tbl>
    <w:p/>
    <w:p>
      <w:pPr>
        <w:spacing w:after="200" w:before="320" w:lineRule="auto" w:line="317"/>
        <w:jc w:val="left"/>
        <w:pBdr>
          <w:bottom w:val="single" w:sz="12" w:space="3" w:color="B88A2E"/>
        </w:pBdr>
      </w:pPr>
      <w:r>
        <w:rPr>
          <w:rFonts w:ascii="微软雅黑" w:hAnsi="微软雅黑" w:eastAsia="宋体" w:cs="微软雅黑"/>
          <w:b/>
          <w:i w:val="0"/>
          <w:color w:val="1A3A5C"/>
          <w:sz w:val="32"/>
        </w:rPr>
        <w:t>三、首期产品：政策研究智能体</w:t>
      </w:r>
    </w:p>
    <w:p>
      <w:pPr>
        <w:spacing w:after="160" w:before="0" w:lineRule="auto" w:line="317"/>
        <w:ind w:firstLine="420"/>
        <w:jc w:val="both"/>
      </w:pPr>
      <w:r>
        <w:rPr>
          <w:rFonts w:ascii="微软雅黑" w:hAnsi="微软雅黑" w:eastAsia="宋体" w:cs="微软雅黑"/>
          <w:b w:val="0"/>
          <w:i w:val="0"/>
          <w:color w:val="222222"/>
          <w:sz w:val="22"/>
        </w:rPr>
        <w:t>选择政策研究作为首期，是因为科技企业最常见的需求是「按自身情况找到仍有效、可适用的政策」，适合用大模型加RAG知识库，而不是一次性生成无出处综述。</w:t>
      </w:r>
    </w:p>
    <w:p>
      <w:pPr>
        <w:spacing w:after="160" w:before="0" w:lineRule="auto" w:line="317"/>
        <w:ind w:firstLine="420"/>
        <w:jc w:val="both"/>
      </w:pPr>
      <w:r>
        <w:rPr>
          <w:rFonts w:ascii="微软雅黑" w:hAnsi="微软雅黑" w:eastAsia="宋体" w:cs="微软雅黑"/>
          <w:b w:val="0"/>
          <w:i w:val="0"/>
          <w:color w:val="222222"/>
          <w:sz w:val="22"/>
        </w:rPr>
        <w:t>典型路径：输入企业基本情况和研究主题 → 在已入库的公开政策中检索原文 → 输出带来源、有效期及适用条件的政策清单，并列出待人工确认事项。下表为字段与示意记录，用于说明交付形态，不是已上线系统截图。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  <w:shd w:fill="1A3A5C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微软雅黑" w:hAnsi="微软雅黑" w:eastAsia="宋体" w:cs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649"/>
            <w:shd w:fill="1A3A5C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微软雅黑" w:hAnsi="微软雅黑" w:eastAsia="宋体" w:cs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64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输入（样例）</w:t>
            </w:r>
          </w:p>
        </w:tc>
        <w:tc>
          <w:tcPr>
            <w:tcW w:type="dxa" w:w="464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企业：杨浦科技型中小企业，有研发费用；主题：研发费用加计扣除及区级扶持。</w:t>
            </w:r>
          </w:p>
        </w:tc>
      </w:tr>
      <w:tr>
        <w:tc>
          <w:tcPr>
            <w:tcW w:type="dxa" w:w="464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系统完成</w:t>
            </w:r>
          </w:p>
        </w:tc>
        <w:tc>
          <w:tcPr>
            <w:tcW w:type="dxa" w:w="464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检索公开政策原文，抽取来源、有效期、适用条件，对照企业情况列出可能相关条款，并标待确认项。</w:t>
            </w:r>
          </w:p>
        </w:tc>
      </w:tr>
      <w:tr>
        <w:tc>
          <w:tcPr>
            <w:tcW w:type="dxa" w:w="464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输出（样例）</w:t>
            </w:r>
          </w:p>
        </w:tc>
        <w:tc>
          <w:tcPr>
            <w:tcW w:type="dxa" w:w="464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政策清单（名称、文号/来源、有效期、适用条件）+ 待人工确认事项。下表为字段设计，不是系统截图。</w:t>
            </w:r>
          </w:p>
        </w:tc>
      </w:tr>
      <w:tr>
        <w:tc>
          <w:tcPr>
            <w:tcW w:type="dxa" w:w="464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本人已完成</w:t>
            </w:r>
          </w:p>
        </w:tc>
        <w:tc>
          <w:tcPr>
            <w:tcW w:type="dxa" w:w="464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问题定义、字段设计，以及用AI辅助完成研究材料的实践。尚未完成规模化知识库和可对外演示界面。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60"/>
        <w:gridCol w:w="1860"/>
        <w:gridCol w:w="1860"/>
        <w:gridCol w:w="1860"/>
        <w:gridCol w:w="1860"/>
      </w:tblGrid>
      <w:tr>
        <w:tc>
          <w:tcPr>
            <w:tcW w:type="dxa" w:w="1860"/>
            <w:shd w:fill="1A3A5C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微软雅黑" w:hAnsi="微软雅黑" w:eastAsia="宋体" w:cs="微软雅黑"/>
                <w:b/>
                <w:color w:val="FFFFFF"/>
                <w:sz w:val="20"/>
              </w:rPr>
              <w:t>政策名称</w:t>
            </w:r>
          </w:p>
        </w:tc>
        <w:tc>
          <w:tcPr>
            <w:tcW w:type="dxa" w:w="1860"/>
            <w:shd w:fill="1A3A5C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微软雅黑" w:hAnsi="微软雅黑" w:eastAsia="宋体" w:cs="微软雅黑"/>
                <w:b/>
                <w:color w:val="FFFFFF"/>
                <w:sz w:val="20"/>
              </w:rPr>
              <w:t>文号／来源</w:t>
            </w:r>
          </w:p>
        </w:tc>
        <w:tc>
          <w:tcPr>
            <w:tcW w:type="dxa" w:w="1860"/>
            <w:shd w:fill="1A3A5C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微软雅黑" w:hAnsi="微软雅黑" w:eastAsia="宋体" w:cs="微软雅黑"/>
                <w:b/>
                <w:color w:val="FFFFFF"/>
                <w:sz w:val="20"/>
              </w:rPr>
              <w:t>有效期</w:t>
            </w:r>
          </w:p>
        </w:tc>
        <w:tc>
          <w:tcPr>
            <w:tcW w:type="dxa" w:w="1860"/>
            <w:shd w:fill="1A3A5C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微软雅黑" w:hAnsi="微软雅黑" w:eastAsia="宋体" w:cs="微软雅黑"/>
                <w:b/>
                <w:color w:val="FFFFFF"/>
                <w:sz w:val="20"/>
              </w:rPr>
              <w:t>适用条件（摘要）</w:t>
            </w:r>
          </w:p>
        </w:tc>
        <w:tc>
          <w:tcPr>
            <w:tcW w:type="dxa" w:w="1860"/>
            <w:shd w:fill="1A3A5C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微软雅黑" w:hAnsi="微软雅黑" w:eastAsia="宋体" w:cs="微软雅黑"/>
                <w:b/>
                <w:color w:val="FFFFFF"/>
                <w:sz w:val="20"/>
              </w:rPr>
              <w:t>待人工确认</w:t>
            </w:r>
          </w:p>
        </w:tc>
      </w:tr>
      <w:tr>
        <w:tc>
          <w:tcPr>
            <w:tcW w:type="dxa" w:w="1860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研发费用加计扣除（公开政策）</w:t>
            </w:r>
          </w:p>
        </w:tc>
        <w:tc>
          <w:tcPr>
            <w:tcW w:type="dxa" w:w="1860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以财政部、税务总局公开公告原文为准</w:t>
            </w:r>
          </w:p>
        </w:tc>
        <w:tc>
          <w:tcPr>
            <w:tcW w:type="dxa" w:w="1860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以原文为准</w:t>
            </w:r>
          </w:p>
        </w:tc>
        <w:tc>
          <w:tcPr>
            <w:tcW w:type="dxa" w:w="1860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研发费用归集、行业与加计比例以原文为准</w:t>
            </w:r>
          </w:p>
        </w:tc>
        <w:tc>
          <w:tcPr>
            <w:tcW w:type="dxa" w:w="1860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该企业费用归集是否符合加计范围</w:t>
            </w:r>
          </w:p>
        </w:tc>
      </w:tr>
      <w:tr>
        <w:tc>
          <w:tcPr>
            <w:tcW w:type="dxa" w:w="1860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高新技术企业或科技型中小企业相关支持（公开政策）</w:t>
            </w:r>
          </w:p>
        </w:tc>
        <w:tc>
          <w:tcPr>
            <w:tcW w:type="dxa" w:w="1860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以国家或上海市公开文件原文为准</w:t>
            </w:r>
          </w:p>
        </w:tc>
        <w:tc>
          <w:tcPr>
            <w:tcW w:type="dxa" w:w="1860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以原文为准</w:t>
            </w:r>
          </w:p>
        </w:tc>
        <w:tc>
          <w:tcPr>
            <w:tcW w:type="dxa" w:w="1860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资质、注册地、产业方向以原文为准</w:t>
            </w:r>
          </w:p>
        </w:tc>
        <w:tc>
          <w:tcPr>
            <w:tcW w:type="dxa" w:w="1860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资质是否在有效期、本年度是否仍可申报</w:t>
            </w:r>
          </w:p>
        </w:tc>
      </w:tr>
      <w:tr>
        <w:tc>
          <w:tcPr>
            <w:tcW w:type="dxa" w:w="1860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杨浦区科技企业扶持（公开文件，示例）</w:t>
            </w:r>
          </w:p>
        </w:tc>
        <w:tc>
          <w:tcPr>
            <w:tcW w:type="dxa" w:w="1860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以区政府或主管部门公开文本为准</w:t>
            </w:r>
          </w:p>
        </w:tc>
        <w:tc>
          <w:tcPr>
            <w:tcW w:type="dxa" w:w="1860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以原文为准</w:t>
            </w:r>
          </w:p>
        </w:tc>
        <w:tc>
          <w:tcPr>
            <w:tcW w:type="dxa" w:w="1860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注册地、产业方向、申报期以原文为准</w:t>
            </w:r>
          </w:p>
        </w:tc>
        <w:tc>
          <w:tcPr>
            <w:tcW w:type="dxa" w:w="1860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是否仍在申报期、额度是否剩余</w:t>
            </w:r>
          </w:p>
        </w:tc>
      </w:tr>
    </w:tbl>
    <w:p/>
    <w:p>
      <w:pPr>
        <w:spacing w:after="200" w:before="320" w:lineRule="auto" w:line="317"/>
        <w:jc w:val="left"/>
        <w:pBdr>
          <w:bottom w:val="single" w:sz="12" w:space="3" w:color="B88A2E"/>
        </w:pBdr>
      </w:pPr>
      <w:r>
        <w:rPr>
          <w:rFonts w:ascii="微软雅黑" w:hAnsi="微软雅黑" w:eastAsia="宋体" w:cs="微软雅黑"/>
          <w:b/>
          <w:i w:val="0"/>
          <w:color w:val="1A3A5C"/>
          <w:sz w:val="32"/>
        </w:rPr>
        <w:t>四、技术实现、进展与分工</w:t>
      </w:r>
    </w:p>
    <w:p>
      <w:pPr>
        <w:spacing w:after="160" w:before="0" w:lineRule="auto" w:line="317"/>
        <w:ind w:firstLine="420"/>
        <w:jc w:val="both"/>
      </w:pPr>
      <w:r>
        <w:rPr>
          <w:rFonts w:ascii="微软雅黑" w:hAnsi="微软雅黑" w:eastAsia="宋体" w:cs="微软雅黑"/>
          <w:b w:val="0"/>
          <w:i w:val="0"/>
          <w:color w:val="222222"/>
          <w:sz w:val="22"/>
        </w:rPr>
        <w:t>第一年不自研底层大模型。实现流程为：资料整理入库、检索与引用、多智能体任务分工、人工复核、结果交付。回答必须带来源；未经授权的内部数据不用于模型训练。</w:t>
      </w:r>
    </w:p>
    <w:p>
      <w:pPr>
        <w:spacing w:after="160" w:before="0" w:lineRule="auto" w:line="317"/>
        <w:ind w:firstLine="420"/>
        <w:jc w:val="both"/>
      </w:pPr>
      <w:r>
        <w:rPr>
          <w:rFonts w:ascii="微软雅黑" w:hAnsi="微软雅黑" w:eastAsia="宋体" w:cs="微软雅黑"/>
          <w:b w:val="0"/>
          <w:i w:val="0"/>
          <w:color w:val="222222"/>
          <w:sz w:val="22"/>
        </w:rPr>
        <w:t>现有进展需要分开表述。已经开展的是AI辅助研究实践，用于简报、白皮书初稿和政策要点整理，证明创始人能够把关口径和交付结构，但工作区使用经历不等于成熟产品。正在将相关流程产品化为可演示的政策研究智能体。目前没有对外演示链接、账号或付费合同。</w:t>
      </w:r>
    </w:p>
    <w:p>
      <w:pPr>
        <w:spacing w:after="160" w:before="0" w:lineRule="auto" w:line="317"/>
        <w:ind w:firstLine="420"/>
        <w:jc w:val="both"/>
      </w:pPr>
      <w:r>
        <w:rPr>
          <w:rFonts w:ascii="微软雅黑" w:hAnsi="微软雅黑" w:eastAsia="宋体" w:cs="微软雅黑"/>
          <w:b w:val="0"/>
          <w:i w:val="0"/>
          <w:color w:val="222222"/>
          <w:sz w:val="22"/>
        </w:rPr>
        <w:t>知识库建设、流程编排、测试与维护由创始人承担。向量库部署、界面实现等必要技术协作按任务外协，初期不另聘全职员工。未获社区Tokens或工具支持时，使用现有商业接口和本地文档库继续开发。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  <w:shd w:fill="1A3A5C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微软雅黑" w:hAnsi="微软雅黑" w:eastAsia="宋体" w:cs="微软雅黑"/>
                <w:b/>
                <w:color w:val="FFFFFF"/>
                <w:sz w:val="20"/>
              </w:rPr>
              <w:t>步骤</w:t>
            </w:r>
          </w:p>
        </w:tc>
        <w:tc>
          <w:tcPr>
            <w:tcW w:type="dxa" w:w="3099"/>
            <w:shd w:fill="1A3A5C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微软雅黑" w:hAnsi="微软雅黑" w:eastAsia="宋体" w:cs="微软雅黑"/>
                <w:b/>
                <w:color w:val="FFFFFF"/>
                <w:sz w:val="20"/>
              </w:rPr>
              <w:t>承担人</w:t>
            </w:r>
          </w:p>
        </w:tc>
        <w:tc>
          <w:tcPr>
            <w:tcW w:type="dxa" w:w="3099"/>
            <w:shd w:fill="1A3A5C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微软雅黑" w:hAnsi="微软雅黑" w:eastAsia="宋体" w:cs="微软雅黑"/>
                <w:b/>
                <w:color w:val="FFFFFF"/>
                <w:sz w:val="20"/>
              </w:rPr>
              <w:t>做什么</w:t>
            </w:r>
          </w:p>
        </w:tc>
      </w:tr>
      <w:tr>
        <w:tc>
          <w:tcPr>
            <w:tcW w:type="dxa" w:w="309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资料整理入库</w:t>
            </w:r>
          </w:p>
        </w:tc>
        <w:tc>
          <w:tcPr>
            <w:tcW w:type="dxa" w:w="309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创始人主导，智能体辅助切片</w:t>
            </w:r>
          </w:p>
        </w:tc>
        <w:tc>
          <w:tcPr>
            <w:tcW w:type="dxa" w:w="309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收集公开或经授权的政策文本，按文号、时效、适用对象建库。</w:t>
            </w:r>
          </w:p>
        </w:tc>
      </w:tr>
      <w:tr>
        <w:tc>
          <w:tcPr>
            <w:tcW w:type="dxa" w:w="309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检索与引用</w:t>
            </w:r>
          </w:p>
        </w:tc>
        <w:tc>
          <w:tcPr>
            <w:tcW w:type="dxa" w:w="309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检索Agent + RAG知识库</w:t>
            </w:r>
          </w:p>
        </w:tc>
        <w:tc>
          <w:tcPr>
            <w:tcW w:type="dxa" w:w="309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按企业情况与主题检索，回答必须附原文片段或文号来源。</w:t>
            </w:r>
          </w:p>
        </w:tc>
      </w:tr>
      <w:tr>
        <w:tc>
          <w:tcPr>
            <w:tcW w:type="dxa" w:w="309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任务分工</w:t>
            </w:r>
          </w:p>
        </w:tc>
        <w:tc>
          <w:tcPr>
            <w:tcW w:type="dxa" w:w="309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多智能体协同，创始人编排</w:t>
            </w:r>
          </w:p>
        </w:tc>
        <w:tc>
          <w:tcPr>
            <w:tcW w:type="dxa" w:w="309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检索、结构化抽取、清单起草分开执行，避免一次生成无出处综述。</w:t>
            </w:r>
          </w:p>
        </w:tc>
      </w:tr>
      <w:tr>
        <w:tc>
          <w:tcPr>
            <w:tcW w:type="dxa" w:w="309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人工复核</w:t>
            </w:r>
          </w:p>
        </w:tc>
        <w:tc>
          <w:tcPr>
            <w:tcW w:type="dxa" w:w="309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创始人</w:t>
            </w:r>
          </w:p>
        </w:tc>
        <w:tc>
          <w:tcPr>
            <w:tcW w:type="dxa" w:w="309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核对有效期、适用条件与口径，确认待核实项后再签发。</w:t>
            </w:r>
          </w:p>
        </w:tc>
      </w:tr>
      <w:tr>
        <w:tc>
          <w:tcPr>
            <w:tcW w:type="dxa" w:w="309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结果交付</w:t>
            </w:r>
          </w:p>
        </w:tc>
        <w:tc>
          <w:tcPr>
            <w:tcW w:type="dxa" w:w="309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创始人签发</w:t>
            </w:r>
          </w:p>
        </w:tc>
        <w:tc>
          <w:tcPr>
            <w:tcW w:type="dxa" w:w="309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输出政策清单、适用说明和待确认事项。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  <w:shd w:fill="1A3A5C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微软雅黑" w:hAnsi="微软雅黑" w:eastAsia="宋体" w:cs="微软雅黑"/>
                <w:b/>
                <w:color w:val="FFFFFF"/>
                <w:sz w:val="20"/>
              </w:rPr>
              <w:t>状态</w:t>
            </w:r>
          </w:p>
        </w:tc>
        <w:tc>
          <w:tcPr>
            <w:tcW w:type="dxa" w:w="4649"/>
            <w:shd w:fill="1A3A5C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微软雅黑" w:hAnsi="微软雅黑" w:eastAsia="宋体" w:cs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64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已完成</w:t>
            </w:r>
          </w:p>
        </w:tc>
        <w:tc>
          <w:tcPr>
            <w:tcW w:type="dxa" w:w="464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四类产品定义；政策研究输出字段（名称、文号/来源、有效期、适用条件、待确认事项）。</w:t>
            </w:r>
          </w:p>
        </w:tc>
      </w:tr>
      <w:tr>
        <w:tc>
          <w:tcPr>
            <w:tcW w:type="dxa" w:w="464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已完成</w:t>
            </w:r>
          </w:p>
        </w:tc>
        <w:tc>
          <w:tcPr>
            <w:tcW w:type="dxa" w:w="464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已开展AI辅助研究实践：用于研究简报、白皮书初稿和政策要点整理，仅本人使用，不等于成熟产品。</w:t>
            </w:r>
          </w:p>
        </w:tc>
      </w:tr>
      <w:tr>
        <w:tc>
          <w:tcPr>
            <w:tcW w:type="dxa" w:w="464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正在开发</w:t>
            </w:r>
          </w:p>
        </w:tc>
        <w:tc>
          <w:tcPr>
            <w:tcW w:type="dxa" w:w="464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将上述实践产品化为政策研究智能体：政策入库、RAG检索与引用、多智能体分工、人工复核。尚无可对外访问的演示链接。</w:t>
            </w:r>
          </w:p>
        </w:tc>
      </w:tr>
      <w:tr>
        <w:tc>
          <w:tcPr>
            <w:tcW w:type="dxa" w:w="464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计划开发</w:t>
            </w:r>
          </w:p>
        </w:tc>
        <w:tc>
          <w:tcPr>
            <w:tcW w:type="dxa" w:w="464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产业研究智能体、企业画像与招商匹配智能体、城市更新案例库智能体，按验证结果分阶段启动。</w:t>
            </w:r>
          </w:p>
        </w:tc>
      </w:tr>
      <w:tr>
        <w:tc>
          <w:tcPr>
            <w:tcW w:type="dxa" w:w="464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尚未开始</w:t>
            </w:r>
          </w:p>
        </w:tc>
        <w:tc>
          <w:tcPr>
            <w:tcW w:type="dxa" w:w="464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对外付费签约、SaaS上线。已实现营业收入为0，尚无对外付费合同。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  <w:shd w:fill="1A3A5C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微软雅黑" w:hAnsi="微软雅黑" w:eastAsia="宋体" w:cs="微软雅黑"/>
                <w:b/>
                <w:color w:val="FFFFFF"/>
                <w:sz w:val="20"/>
              </w:rPr>
              <w:t>工作</w:t>
            </w:r>
          </w:p>
        </w:tc>
        <w:tc>
          <w:tcPr>
            <w:tcW w:type="dxa" w:w="3099"/>
            <w:shd w:fill="1A3A5C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微软雅黑" w:hAnsi="微软雅黑" w:eastAsia="宋体" w:cs="微软雅黑"/>
                <w:b/>
                <w:color w:val="FFFFFF"/>
                <w:sz w:val="20"/>
              </w:rPr>
              <w:t>由谁承担</w:t>
            </w:r>
          </w:p>
        </w:tc>
        <w:tc>
          <w:tcPr>
            <w:tcW w:type="dxa" w:w="3099"/>
            <w:shd w:fill="1A3A5C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微软雅黑" w:hAnsi="微软雅黑" w:eastAsia="宋体" w:cs="微软雅黑"/>
                <w:b/>
                <w:color w:val="FFFFFF"/>
                <w:sz w:val="20"/>
              </w:rPr>
              <w:t>如何落实</w:t>
            </w:r>
          </w:p>
        </w:tc>
      </w:tr>
      <w:tr>
        <w:tc>
          <w:tcPr>
            <w:tcW w:type="dxa" w:w="309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知识库建设</w:t>
            </w:r>
          </w:p>
        </w:tc>
        <w:tc>
          <w:tcPr>
            <w:tcW w:type="dxa" w:w="309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创始人</w:t>
            </w:r>
          </w:p>
        </w:tc>
        <w:tc>
          <w:tcPr>
            <w:tcW w:type="dxa" w:w="309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持续收集公开政策、切片校对、失效文本下线。</w:t>
            </w:r>
          </w:p>
        </w:tc>
      </w:tr>
      <w:tr>
        <w:tc>
          <w:tcPr>
            <w:tcW w:type="dxa" w:w="309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流程编排</w:t>
            </w:r>
          </w:p>
        </w:tc>
        <w:tc>
          <w:tcPr>
            <w:tcW w:type="dxa" w:w="309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创始人</w:t>
            </w:r>
          </w:p>
        </w:tc>
        <w:tc>
          <w:tcPr>
            <w:tcW w:type="dxa" w:w="309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拆解多智能体任务、维护提示词与引用规则。</w:t>
            </w:r>
          </w:p>
        </w:tc>
      </w:tr>
      <w:tr>
        <w:tc>
          <w:tcPr>
            <w:tcW w:type="dxa" w:w="309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测试与维护</w:t>
            </w:r>
          </w:p>
        </w:tc>
        <w:tc>
          <w:tcPr>
            <w:tcW w:type="dxa" w:w="309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创始人</w:t>
            </w:r>
          </w:p>
        </w:tc>
        <w:tc>
          <w:tcPr>
            <w:tcW w:type="dxa" w:w="309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用例回归、输出抽检、政策更新后复测。</w:t>
            </w:r>
          </w:p>
        </w:tc>
      </w:tr>
      <w:tr>
        <w:tc>
          <w:tcPr>
            <w:tcW w:type="dxa" w:w="309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必要技术协作</w:t>
            </w:r>
          </w:p>
        </w:tc>
        <w:tc>
          <w:tcPr>
            <w:tcW w:type="dxa" w:w="309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按任务外协</w:t>
            </w:r>
          </w:p>
        </w:tc>
        <w:tc>
          <w:tcPr>
            <w:tcW w:type="dxa" w:w="309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向量库部署、界面实现等按单项采购，初期不另聘全职员工。</w:t>
            </w:r>
          </w:p>
        </w:tc>
      </w:tr>
    </w:tbl>
    <w:p/>
    <w:p>
      <w:pPr>
        <w:spacing w:after="200" w:before="320" w:lineRule="auto" w:line="317"/>
        <w:jc w:val="left"/>
        <w:pBdr>
          <w:bottom w:val="single" w:sz="12" w:space="3" w:color="B88A2E"/>
        </w:pBdr>
      </w:pPr>
      <w:r>
        <w:rPr>
          <w:rFonts w:ascii="微软雅黑" w:hAnsi="微软雅黑" w:eastAsia="宋体" w:cs="微软雅黑"/>
          <w:b/>
          <w:i w:val="0"/>
          <w:color w:val="1A3A5C"/>
          <w:sz w:val="32"/>
        </w:rPr>
        <w:t>五、商业模式与预计营收</w:t>
      </w:r>
    </w:p>
    <w:p>
      <w:pPr>
        <w:spacing w:after="160" w:before="0" w:lineRule="auto" w:line="317"/>
        <w:ind w:firstLine="420"/>
        <w:jc w:val="both"/>
      </w:pPr>
      <w:r>
        <w:rPr>
          <w:rFonts w:ascii="微软雅黑" w:hAnsi="微软雅黑" w:eastAsia="宋体" w:cs="微软雅黑"/>
          <w:b w:val="0"/>
          <w:i w:val="0"/>
          <w:color w:val="222222"/>
          <w:sz w:val="22"/>
        </w:rPr>
        <w:t>申请表盈利模式勾选「服务收费」「技术开发」。服务收费对应政策或产业研究交付及陪跑；技术开发对应政策研究智能体的场景定制。配套活动与材料服务按场次计，不作为收入主力。</w:t>
      </w:r>
    </w:p>
    <w:p>
      <w:pPr>
        <w:spacing w:after="160" w:before="0" w:lineRule="auto" w:line="317"/>
        <w:ind w:firstLine="420"/>
        <w:jc w:val="both"/>
      </w:pPr>
      <w:r>
        <w:rPr>
          <w:rFonts w:ascii="微软雅黑" w:hAnsi="微软雅黑" w:eastAsia="宋体" w:cs="微软雅黑"/>
          <w:b w:val="0"/>
          <w:i w:val="0"/>
          <w:color w:val="222222"/>
          <w:sz w:val="22"/>
        </w:rPr>
        <w:t>下表报价、交付周期和项目数量均为测算假设，不是已成交合同。已实现营业收入为0，不是未提供收入数据；尚无对外付费合同，不是隐去客户名称。尚未融资，自有资金起步。</w:t>
      </w:r>
    </w:p>
    <w:p>
      <w:pPr>
        <w:spacing w:after="160" w:before="0" w:lineRule="auto" w:line="317"/>
        <w:ind w:firstLine="420"/>
        <w:jc w:val="both"/>
      </w:pPr>
      <w:r>
        <w:rPr>
          <w:rFonts w:ascii="微软雅黑" w:hAnsi="微软雅黑" w:eastAsia="宋体" w:cs="微软雅黑"/>
          <w:b w:val="0"/>
          <w:i w:val="0"/>
          <w:color w:val="222222"/>
          <w:sz w:val="22"/>
        </w:rPr>
        <w:t>基准假设：4项研究（按1.5万元计）、2套定制（按5万元计）、1个季度陪跑（按2万元计），预计营业收入约18万元。保守假设约9–14万元，较好假设约28–40万元。三项均为分情景测算，不把情景之间的数字再次加总。预计首个完整经营年度营业收入低于50万元，实际取决于产品验证与项目签约情况。</w:t>
      </w:r>
    </w:p>
    <w:p>
      <w:pPr>
        <w:spacing w:after="160" w:before="0" w:lineRule="auto" w:line="317"/>
        <w:ind w:firstLine="420"/>
        <w:jc w:val="both"/>
      </w:pPr>
      <w:r>
        <w:rPr>
          <w:rFonts w:ascii="微软雅黑" w:hAnsi="微软雅黑" w:eastAsia="宋体" w:cs="微软雅黑"/>
          <w:b w:val="0"/>
          <w:i w:val="0"/>
          <w:color w:val="222222"/>
          <w:sz w:val="22"/>
        </w:rPr>
        <w:t>成本包括模型调用、知识库与流程的持续维护、必要技术协作、法律记账，以及创始人全年时间投入对应的基本报酬（拟由自有资金安排15–25万元）。免租、代账、Tokens等为拟申请，以实际获批为准；未获批按自有资金启动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  <w:shd w:fill="1A3A5C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微软雅黑" w:hAnsi="微软雅黑" w:eastAsia="宋体" w:cs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3099"/>
            <w:shd w:fill="1A3A5C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微软雅黑" w:hAnsi="微软雅黑" w:eastAsia="宋体" w:cs="微软雅黑"/>
                <w:b/>
                <w:color w:val="FFFFFF"/>
                <w:sz w:val="20"/>
              </w:rPr>
              <w:t>口径</w:t>
            </w:r>
          </w:p>
        </w:tc>
        <w:tc>
          <w:tcPr>
            <w:tcW w:type="dxa" w:w="3099"/>
            <w:shd w:fill="1A3A5C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微软雅黑" w:hAnsi="微软雅黑" w:eastAsia="宋体" w:cs="微软雅黑"/>
                <w:b/>
                <w:color w:val="FFFFFF"/>
                <w:sz w:val="20"/>
              </w:rPr>
              <w:t>填写</w:t>
            </w:r>
          </w:p>
        </w:tc>
      </w:tr>
      <w:tr>
        <w:tc>
          <w:tcPr>
            <w:tcW w:type="dxa" w:w="309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已实现营业收入</w:t>
            </w:r>
          </w:p>
        </w:tc>
        <w:tc>
          <w:tcPr>
            <w:tcW w:type="dxa" w:w="309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事实</w:t>
            </w:r>
          </w:p>
        </w:tc>
        <w:tc>
          <w:tcPr>
            <w:tcW w:type="dxa" w:w="309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0（尚未对外经营，不是未提供收入数据）</w:t>
            </w:r>
          </w:p>
        </w:tc>
      </w:tr>
      <w:tr>
        <w:tc>
          <w:tcPr>
            <w:tcW w:type="dxa" w:w="309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对外付费合同</w:t>
            </w:r>
          </w:p>
        </w:tc>
        <w:tc>
          <w:tcPr>
            <w:tcW w:type="dxa" w:w="309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事实</w:t>
            </w:r>
          </w:p>
        </w:tc>
        <w:tc>
          <w:tcPr>
            <w:tcW w:type="dxa" w:w="309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无（不是隐去客户名称）</w:t>
            </w:r>
          </w:p>
        </w:tc>
      </w:tr>
      <w:tr>
        <w:tc>
          <w:tcPr>
            <w:tcW w:type="dxa" w:w="309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已获股权融资</w:t>
            </w:r>
          </w:p>
        </w:tc>
        <w:tc>
          <w:tcPr>
            <w:tcW w:type="dxa" w:w="309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事实</w:t>
            </w:r>
          </w:p>
        </w:tc>
        <w:tc>
          <w:tcPr>
            <w:tcW w:type="dxa" w:w="309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无，自有资金起步</w:t>
            </w:r>
          </w:p>
        </w:tc>
      </w:tr>
      <w:tr>
        <w:tc>
          <w:tcPr>
            <w:tcW w:type="dxa" w:w="309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预计首个完整经营年度营业收入</w:t>
            </w:r>
          </w:p>
        </w:tc>
        <w:tc>
          <w:tcPr>
            <w:tcW w:type="dxa" w:w="309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预测</w:t>
            </w:r>
          </w:p>
        </w:tc>
        <w:tc>
          <w:tcPr>
            <w:tcW w:type="dxa" w:w="309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低于50万元，取决于验证与签约</w:t>
            </w:r>
          </w:p>
        </w:tc>
      </w:tr>
      <w:tr>
        <w:tc>
          <w:tcPr>
            <w:tcW w:type="dxa" w:w="309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申请表选项</w:t>
            </w:r>
          </w:p>
        </w:tc>
        <w:tc>
          <w:tcPr>
            <w:tcW w:type="dxa" w:w="309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对应</w:t>
            </w:r>
          </w:p>
        </w:tc>
        <w:tc>
          <w:tcPr>
            <w:tcW w:type="dxa" w:w="309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50万以下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60"/>
        <w:gridCol w:w="1860"/>
        <w:gridCol w:w="1860"/>
        <w:gridCol w:w="1860"/>
        <w:gridCol w:w="1860"/>
      </w:tblGrid>
      <w:tr>
        <w:tc>
          <w:tcPr>
            <w:tcW w:type="dxa" w:w="1860"/>
            <w:shd w:fill="1A3A5C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微软雅黑" w:hAnsi="微软雅黑" w:eastAsia="宋体" w:cs="微软雅黑"/>
                <w:b/>
                <w:color w:val="FFFFFF"/>
                <w:sz w:val="20"/>
              </w:rPr>
              <w:t>产品</w:t>
            </w:r>
          </w:p>
        </w:tc>
        <w:tc>
          <w:tcPr>
            <w:tcW w:type="dxa" w:w="1860"/>
            <w:shd w:fill="1A3A5C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微软雅黑" w:hAnsi="微软雅黑" w:eastAsia="宋体" w:cs="微软雅黑"/>
                <w:b/>
                <w:color w:val="FFFFFF"/>
                <w:sz w:val="20"/>
              </w:rPr>
              <w:t>服务范围</w:t>
            </w:r>
          </w:p>
        </w:tc>
        <w:tc>
          <w:tcPr>
            <w:tcW w:type="dxa" w:w="1860"/>
            <w:shd w:fill="1A3A5C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微软雅黑" w:hAnsi="微软雅黑" w:eastAsia="宋体" w:cs="微软雅黑"/>
                <w:b/>
                <w:color w:val="FFFFFF"/>
                <w:sz w:val="20"/>
              </w:rPr>
              <w:t>交付周期</w:t>
            </w:r>
          </w:p>
        </w:tc>
        <w:tc>
          <w:tcPr>
            <w:tcW w:type="dxa" w:w="1860"/>
            <w:shd w:fill="1A3A5C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微软雅黑" w:hAnsi="微软雅黑" w:eastAsia="宋体" w:cs="微软雅黑"/>
                <w:b/>
                <w:color w:val="FFFFFF"/>
                <w:sz w:val="20"/>
              </w:rPr>
              <w:t>计划价（测算）</w:t>
            </w:r>
          </w:p>
        </w:tc>
        <w:tc>
          <w:tcPr>
            <w:tcW w:type="dxa" w:w="1860"/>
            <w:shd w:fill="1A3A5C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微软雅黑" w:hAnsi="微软雅黑" w:eastAsia="宋体" w:cs="微软雅黑"/>
                <w:b/>
                <w:color w:val="FFFFFF"/>
                <w:sz w:val="20"/>
              </w:rPr>
              <w:t>基准年数量假设</w:t>
            </w:r>
          </w:p>
        </w:tc>
      </w:tr>
      <w:tr>
        <w:tc>
          <w:tcPr>
            <w:tcW w:type="dxa" w:w="1860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政策或产业研究交付</w:t>
            </w:r>
          </w:p>
        </w:tc>
        <w:tc>
          <w:tcPr>
            <w:tcW w:type="dxa" w:w="1860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一主题清单、适用说明、待确认事项</w:t>
            </w:r>
          </w:p>
        </w:tc>
        <w:tc>
          <w:tcPr>
            <w:tcW w:type="dxa" w:w="1860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5–10个工作日</w:t>
            </w:r>
          </w:p>
        </w:tc>
        <w:tc>
          <w:tcPr>
            <w:tcW w:type="dxa" w:w="1860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0.8–3万元/项</w:t>
            </w:r>
          </w:p>
        </w:tc>
        <w:tc>
          <w:tcPr>
            <w:tcW w:type="dxa" w:w="1860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4项</w:t>
            </w:r>
          </w:p>
        </w:tc>
      </w:tr>
      <w:tr>
        <w:tc>
          <w:tcPr>
            <w:tcW w:type="dxa" w:w="1860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政策研究智能体定制</w:t>
            </w:r>
          </w:p>
        </w:tc>
        <w:tc>
          <w:tcPr>
            <w:tcW w:type="dxa" w:w="1860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场景工作流、使用说明、一个月陪跑</w:t>
            </w:r>
          </w:p>
        </w:tc>
        <w:tc>
          <w:tcPr>
            <w:tcW w:type="dxa" w:w="1860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3–6周</w:t>
            </w:r>
          </w:p>
        </w:tc>
        <w:tc>
          <w:tcPr>
            <w:tcW w:type="dxa" w:w="1860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3–8万元/套</w:t>
            </w:r>
          </w:p>
        </w:tc>
        <w:tc>
          <w:tcPr>
            <w:tcW w:type="dxa" w:w="1860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2套</w:t>
            </w:r>
          </w:p>
        </w:tc>
      </w:tr>
      <w:tr>
        <w:tc>
          <w:tcPr>
            <w:tcW w:type="dxa" w:w="1860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季度陪跑</w:t>
            </w:r>
          </w:p>
        </w:tc>
        <w:tc>
          <w:tcPr>
            <w:tcW w:type="dxa" w:w="1860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政策库更新、复核与答疑</w:t>
            </w:r>
          </w:p>
        </w:tc>
        <w:tc>
          <w:tcPr>
            <w:tcW w:type="dxa" w:w="1860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按季</w:t>
            </w:r>
          </w:p>
        </w:tc>
        <w:tc>
          <w:tcPr>
            <w:tcW w:type="dxa" w:w="1860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1.5–4万元/季</w:t>
            </w:r>
          </w:p>
        </w:tc>
        <w:tc>
          <w:tcPr>
            <w:tcW w:type="dxa" w:w="1860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1季</w:t>
            </w:r>
          </w:p>
        </w:tc>
      </w:tr>
      <w:tr>
        <w:tc>
          <w:tcPr>
            <w:tcW w:type="dxa" w:w="1860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配套活动／材料</w:t>
            </w:r>
          </w:p>
        </w:tc>
        <w:tc>
          <w:tcPr>
            <w:tcW w:type="dxa" w:w="1860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经授权的研讨材料或纪要整理</w:t>
            </w:r>
          </w:p>
        </w:tc>
        <w:tc>
          <w:tcPr>
            <w:tcW w:type="dxa" w:w="1860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按场次</w:t>
            </w:r>
          </w:p>
        </w:tc>
        <w:tc>
          <w:tcPr>
            <w:tcW w:type="dxa" w:w="1860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0.5–2万元/场</w:t>
            </w:r>
          </w:p>
        </w:tc>
        <w:tc>
          <w:tcPr>
            <w:tcW w:type="dxa" w:w="1860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0–1场，不作为主力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  <w:shd w:fill="1A3A5C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微软雅黑" w:hAnsi="微软雅黑" w:eastAsia="宋体" w:cs="微软雅黑"/>
                <w:b/>
                <w:color w:val="FFFFFF"/>
                <w:sz w:val="20"/>
              </w:rPr>
              <w:t>测算情景</w:t>
            </w:r>
          </w:p>
        </w:tc>
        <w:tc>
          <w:tcPr>
            <w:tcW w:type="dxa" w:w="3099"/>
            <w:shd w:fill="1A3A5C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微软雅黑" w:hAnsi="微软雅黑" w:eastAsia="宋体" w:cs="微软雅黑"/>
                <w:b/>
                <w:color w:val="FFFFFF"/>
                <w:sz w:val="20"/>
              </w:rPr>
              <w:t>数量假设（均为测算，不跨情景加总）</w:t>
            </w:r>
          </w:p>
        </w:tc>
        <w:tc>
          <w:tcPr>
            <w:tcW w:type="dxa" w:w="3099"/>
            <w:shd w:fill="1A3A5C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微软雅黑" w:hAnsi="微软雅黑" w:eastAsia="宋体" w:cs="微软雅黑"/>
                <w:b/>
                <w:color w:val="FFFFFF"/>
                <w:sz w:val="20"/>
              </w:rPr>
              <w:t>预计营业收入</w:t>
            </w:r>
          </w:p>
        </w:tc>
      </w:tr>
      <w:tr>
        <w:tc>
          <w:tcPr>
            <w:tcW w:type="dxa" w:w="309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保守</w:t>
            </w:r>
          </w:p>
        </w:tc>
        <w:tc>
          <w:tcPr>
            <w:tcW w:type="dxa" w:w="309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1套定制 + 3项研究</w:t>
            </w:r>
          </w:p>
        </w:tc>
        <w:tc>
          <w:tcPr>
            <w:tcW w:type="dxa" w:w="309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约9–14万元</w:t>
            </w:r>
          </w:p>
        </w:tc>
      </w:tr>
      <w:tr>
        <w:tc>
          <w:tcPr>
            <w:tcW w:type="dxa" w:w="309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基准</w:t>
            </w:r>
          </w:p>
        </w:tc>
        <w:tc>
          <w:tcPr>
            <w:tcW w:type="dxa" w:w="309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2套定制 + 4项研究 + 1个陪跑</w:t>
            </w:r>
          </w:p>
        </w:tc>
        <w:tc>
          <w:tcPr>
            <w:tcW w:type="dxa" w:w="309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约18–22万元</w:t>
            </w:r>
          </w:p>
        </w:tc>
      </w:tr>
      <w:tr>
        <w:tc>
          <w:tcPr>
            <w:tcW w:type="dxa" w:w="309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较好</w:t>
            </w:r>
          </w:p>
        </w:tc>
        <w:tc>
          <w:tcPr>
            <w:tcW w:type="dxa" w:w="309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3套定制 + 5项研究 + 2个陪跑</w:t>
            </w:r>
          </w:p>
        </w:tc>
        <w:tc>
          <w:tcPr>
            <w:tcW w:type="dxa" w:w="309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约28–40万元</w:t>
            </w:r>
          </w:p>
        </w:tc>
      </w:tr>
      <w:tr>
        <w:tc>
          <w:tcPr>
            <w:tcW w:type="dxa" w:w="309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申请表档位</w:t>
            </w:r>
          </w:p>
        </w:tc>
        <w:tc>
          <w:tcPr>
            <w:tcW w:type="dxa" w:w="309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对应「50万以下」</w:t>
            </w:r>
          </w:p>
        </w:tc>
        <w:tc>
          <w:tcPr>
            <w:tcW w:type="dxa" w:w="309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预计低于50万元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  <w:shd w:fill="1A3A5C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微软雅黑" w:hAnsi="微软雅黑" w:eastAsia="宋体" w:cs="微软雅黑"/>
                <w:b/>
                <w:color w:val="FFFFFF"/>
                <w:sz w:val="20"/>
              </w:rPr>
              <w:t>成本项</w:t>
            </w:r>
          </w:p>
        </w:tc>
        <w:tc>
          <w:tcPr>
            <w:tcW w:type="dxa" w:w="3099"/>
            <w:shd w:fill="1A3A5C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微软雅黑" w:hAnsi="微软雅黑" w:eastAsia="宋体" w:cs="微软雅黑"/>
                <w:b/>
                <w:color w:val="FFFFFF"/>
                <w:sz w:val="20"/>
              </w:rPr>
              <w:t>预计</w:t>
            </w:r>
          </w:p>
        </w:tc>
        <w:tc>
          <w:tcPr>
            <w:tcW w:type="dxa" w:w="3099"/>
            <w:shd w:fill="1A3A5C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微软雅黑" w:hAnsi="微软雅黑" w:eastAsia="宋体" w:cs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09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创始人时间投入／基本报酬</w:t>
            </w:r>
          </w:p>
        </w:tc>
        <w:tc>
          <w:tcPr>
            <w:tcW w:type="dxa" w:w="309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15–25万元</w:t>
            </w:r>
          </w:p>
        </w:tc>
        <w:tc>
          <w:tcPr>
            <w:tcW w:type="dxa" w:w="309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自有资金安排，计入项目成本</w:t>
            </w:r>
          </w:p>
        </w:tc>
      </w:tr>
      <w:tr>
        <w:tc>
          <w:tcPr>
            <w:tcW w:type="dxa" w:w="309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模型与检索调用</w:t>
            </w:r>
          </w:p>
        </w:tc>
        <w:tc>
          <w:tcPr>
            <w:tcW w:type="dxa" w:w="309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2–6万元</w:t>
            </w:r>
          </w:p>
        </w:tc>
        <w:tc>
          <w:tcPr>
            <w:tcW w:type="dxa" w:w="309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Tokens未获批时按此计</w:t>
            </w:r>
          </w:p>
        </w:tc>
      </w:tr>
      <w:tr>
        <w:tc>
          <w:tcPr>
            <w:tcW w:type="dxa" w:w="309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知识库与持续维护</w:t>
            </w:r>
          </w:p>
        </w:tc>
        <w:tc>
          <w:tcPr>
            <w:tcW w:type="dxa" w:w="309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0.5–2万元</w:t>
            </w:r>
          </w:p>
        </w:tc>
        <w:tc>
          <w:tcPr>
            <w:tcW w:type="dxa" w:w="309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政策更新、测试回归</w:t>
            </w:r>
          </w:p>
        </w:tc>
      </w:tr>
      <w:tr>
        <w:tc>
          <w:tcPr>
            <w:tcW w:type="dxa" w:w="309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技术协作外协</w:t>
            </w:r>
          </w:p>
        </w:tc>
        <w:tc>
          <w:tcPr>
            <w:tcW w:type="dxa" w:w="309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1–3万元</w:t>
            </w:r>
          </w:p>
        </w:tc>
        <w:tc>
          <w:tcPr>
            <w:tcW w:type="dxa" w:w="309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向量库、界面等按任务采购</w:t>
            </w:r>
          </w:p>
        </w:tc>
      </w:tr>
      <w:tr>
        <w:tc>
          <w:tcPr>
            <w:tcW w:type="dxa" w:w="309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法律／记账</w:t>
            </w:r>
          </w:p>
        </w:tc>
        <w:tc>
          <w:tcPr>
            <w:tcW w:type="dxa" w:w="309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0.5–1.5万元</w:t>
            </w:r>
          </w:p>
        </w:tc>
        <w:tc>
          <w:tcPr>
            <w:tcW w:type="dxa" w:w="309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免费代账未获批时</w:t>
            </w:r>
          </w:p>
        </w:tc>
      </w:tr>
      <w:tr>
        <w:tc>
          <w:tcPr>
            <w:tcW w:type="dxa" w:w="309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工具与基础开支</w:t>
            </w:r>
          </w:p>
        </w:tc>
        <w:tc>
          <w:tcPr>
            <w:tcW w:type="dxa" w:w="309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0.5–1万元</w:t>
            </w:r>
          </w:p>
        </w:tc>
        <w:tc>
          <w:tcPr>
            <w:tcW w:type="dxa" w:w="309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软件、域名等</w:t>
            </w:r>
          </w:p>
        </w:tc>
      </w:tr>
      <w:tr>
        <w:tc>
          <w:tcPr>
            <w:tcW w:type="dxa" w:w="309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免租／代账／Tokens</w:t>
            </w:r>
          </w:p>
        </w:tc>
        <w:tc>
          <w:tcPr>
            <w:tcW w:type="dxa" w:w="309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拟申请</w:t>
            </w:r>
          </w:p>
        </w:tc>
        <w:tc>
          <w:tcPr>
            <w:tcW w:type="dxa" w:w="309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以实际获批为准，未获批不影响启动</w:t>
            </w:r>
          </w:p>
        </w:tc>
      </w:tr>
    </w:tbl>
    <w:p/>
    <w:p>
      <w:pPr>
        <w:spacing w:after="200" w:before="320" w:lineRule="auto" w:line="317"/>
        <w:jc w:val="left"/>
        <w:pBdr>
          <w:bottom w:val="single" w:sz="12" w:space="3" w:color="B88A2E"/>
        </w:pBdr>
      </w:pPr>
      <w:r>
        <w:rPr>
          <w:rFonts w:ascii="微软雅黑" w:hAnsi="微软雅黑" w:eastAsia="宋体" w:cs="微软雅黑"/>
          <w:b/>
          <w:i w:val="0"/>
          <w:color w:val="1A3A5C"/>
          <w:sz w:val="32"/>
        </w:rPr>
        <w:t>六、团队与创始人</w:t>
      </w:r>
    </w:p>
    <w:p>
      <w:pPr>
        <w:spacing w:after="160" w:before="0" w:lineRule="auto" w:line="317"/>
        <w:ind w:firstLine="420"/>
        <w:jc w:val="both"/>
      </w:pPr>
      <w:r>
        <w:rPr>
          <w:rFonts w:ascii="微软雅黑" w:hAnsi="微软雅黑" w:eastAsia="宋体" w:cs="微软雅黑"/>
          <w:b w:val="0"/>
          <w:i w:val="0"/>
          <w:color w:val="222222"/>
          <w:sz w:val="22"/>
        </w:rPr>
        <w:t>1名创始人负责运营，初期不另聘全职员工。创始人为胡继刚。智能体按检索与引用、结构化抽取、起草分工，均不是劳动合同员工，输出须经创始人复核。</w:t>
      </w:r>
    </w:p>
    <w:p>
      <w:pPr>
        <w:spacing w:after="160" w:before="0" w:lineRule="auto" w:line="317"/>
        <w:ind w:firstLine="420"/>
        <w:jc w:val="both"/>
      </w:pPr>
      <w:r>
        <w:rPr>
          <w:rFonts w:ascii="微软雅黑" w:hAnsi="微软雅黑" w:eastAsia="宋体" w:cs="微软雅黑"/>
          <w:b w:val="0"/>
          <w:i w:val="0"/>
          <w:color w:val="222222"/>
          <w:sz w:val="22"/>
        </w:rPr>
        <w:t>教育：中国海洋大学土木工程学士，复旦大学工商管理硕士。专业技术职称：副教授级高级工程师（证书原文）、会计师。2017–2021年任万科上海区域江浙事业部投资副总经理，从事投资拓展、产业运营与城市更新前期研判；2021年起任复旦大学住房政策研究中心秘书长、杨浦区科技企业联合会执行会长。这些经历用于定义政策研究、产业研究和科技企业服务场景，公开活动见个人简介所附链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  <w:shd w:fill="1A3A5C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微软雅黑" w:hAnsi="微软雅黑" w:eastAsia="宋体" w:cs="微软雅黑"/>
                <w:b/>
                <w:color w:val="FFFFFF"/>
                <w:sz w:val="20"/>
              </w:rPr>
              <w:t>角色</w:t>
            </w:r>
          </w:p>
        </w:tc>
        <w:tc>
          <w:tcPr>
            <w:tcW w:type="dxa" w:w="3099"/>
            <w:shd w:fill="1A3A5C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微软雅黑" w:hAnsi="微软雅黑" w:eastAsia="宋体" w:cs="微软雅黑"/>
                <w:b/>
                <w:color w:val="FFFFFF"/>
                <w:sz w:val="20"/>
              </w:rPr>
              <w:t>身份</w:t>
            </w:r>
          </w:p>
        </w:tc>
        <w:tc>
          <w:tcPr>
            <w:tcW w:type="dxa" w:w="3099"/>
            <w:shd w:fill="1A3A5C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微软雅黑" w:hAnsi="微软雅黑" w:eastAsia="宋体" w:cs="微软雅黑"/>
                <w:b/>
                <w:color w:val="FFFFFF"/>
                <w:sz w:val="20"/>
              </w:rPr>
              <w:t>职责</w:t>
            </w:r>
          </w:p>
        </w:tc>
      </w:tr>
      <w:tr>
        <w:tc>
          <w:tcPr>
            <w:tcW w:type="dxa" w:w="309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胡继刚</w:t>
            </w:r>
          </w:p>
        </w:tc>
        <w:tc>
          <w:tcPr>
            <w:tcW w:type="dxa" w:w="309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1名创始人，负责运营</w:t>
            </w:r>
          </w:p>
        </w:tc>
        <w:tc>
          <w:tcPr>
            <w:tcW w:type="dxa" w:w="309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产品定义、知识库、编排、复核、经营</w:t>
            </w:r>
          </w:p>
        </w:tc>
      </w:tr>
      <w:tr>
        <w:tc>
          <w:tcPr>
            <w:tcW w:type="dxa" w:w="309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检索与引用 Agent</w:t>
            </w:r>
          </w:p>
        </w:tc>
        <w:tc>
          <w:tcPr>
            <w:tcW w:type="dxa" w:w="309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智能体，非员工</w:t>
            </w:r>
          </w:p>
        </w:tc>
        <w:tc>
          <w:tcPr>
            <w:tcW w:type="dxa" w:w="309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RAG检索并附原文片段或文号</w:t>
            </w:r>
          </w:p>
        </w:tc>
      </w:tr>
      <w:tr>
        <w:tc>
          <w:tcPr>
            <w:tcW w:type="dxa" w:w="309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结构化 Agent</w:t>
            </w:r>
          </w:p>
        </w:tc>
        <w:tc>
          <w:tcPr>
            <w:tcW w:type="dxa" w:w="309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智能体，非员工</w:t>
            </w:r>
          </w:p>
        </w:tc>
        <w:tc>
          <w:tcPr>
            <w:tcW w:type="dxa" w:w="309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抽取有效期、适用条件、待确认项</w:t>
            </w:r>
          </w:p>
        </w:tc>
      </w:tr>
      <w:tr>
        <w:tc>
          <w:tcPr>
            <w:tcW w:type="dxa" w:w="309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起草 Agent</w:t>
            </w:r>
          </w:p>
        </w:tc>
        <w:tc>
          <w:tcPr>
            <w:tcW w:type="dxa" w:w="309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智能体，非员工</w:t>
            </w:r>
          </w:p>
        </w:tc>
        <w:tc>
          <w:tcPr>
            <w:tcW w:type="dxa" w:w="309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政策清单与说明草稿</w:t>
            </w:r>
          </w:p>
        </w:tc>
      </w:tr>
    </w:tbl>
    <w:p/>
    <w:p>
      <w:pPr>
        <w:spacing w:after="200" w:before="320" w:lineRule="auto" w:line="317"/>
        <w:jc w:val="left"/>
        <w:pBdr>
          <w:bottom w:val="single" w:sz="12" w:space="3" w:color="B88A2E"/>
        </w:pBdr>
      </w:pPr>
      <w:r>
        <w:rPr>
          <w:rFonts w:ascii="微软雅黑" w:hAnsi="微软雅黑" w:eastAsia="宋体" w:cs="微软雅黑"/>
          <w:b/>
          <w:i w:val="0"/>
          <w:color w:val="1A3A5C"/>
          <w:sz w:val="32"/>
        </w:rPr>
        <w:t>七、入驻需求、社区贡献与近90天安排</w:t>
      </w:r>
    </w:p>
    <w:p>
      <w:pPr>
        <w:spacing w:after="160" w:before="0" w:lineRule="auto" w:line="317"/>
        <w:ind w:firstLine="420"/>
        <w:jc w:val="both"/>
      </w:pPr>
      <w:r>
        <w:rPr>
          <w:rFonts w:ascii="微软雅黑" w:hAnsi="微软雅黑" w:eastAsia="宋体" w:cs="微软雅黑"/>
          <w:b w:val="0"/>
          <w:i w:val="0"/>
          <w:color w:val="222222"/>
          <w:sz w:val="22"/>
        </w:rPr>
        <w:t>拟申请：1个固定工位、工商注册地址、OPC开办辅导、代理记账、合火人工具链和Tokens。上述均为申请事项，以实际获批为准。未获批准时，仍以自有资金支付模型调用、技术协作和记账，在现有条件下继续产品化，取得营业执照后对外签约。</w:t>
      </w:r>
    </w:p>
    <w:p>
      <w:pPr>
        <w:spacing w:after="160" w:before="0" w:lineRule="auto" w:line="317"/>
        <w:ind w:firstLine="420"/>
        <w:jc w:val="both"/>
      </w:pPr>
      <w:r>
        <w:rPr>
          <w:rFonts w:ascii="微软雅黑" w:hAnsi="微软雅黑" w:eastAsia="宋体" w:cs="微软雅黑"/>
          <w:b w:val="0"/>
          <w:i w:val="0"/>
          <w:color w:val="222222"/>
          <w:sz w:val="22"/>
        </w:rPr>
        <w:t>拟为社区提供的贡献（均为计划，不是已落实义务）：向社区内项目提供政策研究工具试用；参与产业需求交流；在获得授权前提下共建政策与案例材料。</w:t>
      </w:r>
    </w:p>
    <w:p>
      <w:pPr>
        <w:spacing w:after="160" w:before="0" w:lineRule="auto" w:line="317"/>
        <w:ind w:firstLine="420"/>
        <w:jc w:val="both"/>
      </w:pPr>
      <w:r>
        <w:rPr>
          <w:rFonts w:ascii="微软雅黑" w:hAnsi="微软雅黑" w:eastAsia="宋体" w:cs="微软雅黑"/>
          <w:b w:val="0"/>
          <w:i w:val="0"/>
          <w:color w:val="222222"/>
          <w:sz w:val="22"/>
        </w:rPr>
        <w:t>入驻后30日：推进一人主体设立，继续政策入库和检索引用流程。入驻后90日：形成可当面演示的「输入企业情况与主题—输出政策清单」；完成报价模板；联系1–2个真实场景试用。试用不等于已实现收入。若原型慢于90天，则继续只做首期政策研究智能体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  <w:shd w:fill="1A3A5C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微软雅黑" w:hAnsi="微软雅黑" w:eastAsia="宋体" w:cs="微软雅黑"/>
                <w:b/>
                <w:color w:val="FFFFFF"/>
                <w:sz w:val="20"/>
              </w:rPr>
              <w:t>事项</w:t>
            </w:r>
          </w:p>
        </w:tc>
        <w:tc>
          <w:tcPr>
            <w:tcW w:type="dxa" w:w="3099"/>
            <w:shd w:fill="1A3A5C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微软雅黑" w:hAnsi="微软雅黑" w:eastAsia="宋体" w:cs="微软雅黑"/>
                <w:b/>
                <w:color w:val="FFFFFF"/>
                <w:sz w:val="20"/>
              </w:rPr>
              <w:t>性质</w:t>
            </w:r>
          </w:p>
        </w:tc>
        <w:tc>
          <w:tcPr>
            <w:tcW w:type="dxa" w:w="3099"/>
            <w:shd w:fill="1A3A5C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微软雅黑" w:hAnsi="微软雅黑" w:eastAsia="宋体" w:cs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09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固定工位1个</w:t>
            </w:r>
          </w:p>
        </w:tc>
        <w:tc>
          <w:tcPr>
            <w:tcW w:type="dxa" w:w="309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拟申请</w:t>
            </w:r>
          </w:p>
        </w:tc>
        <w:tc>
          <w:tcPr>
            <w:tcW w:type="dxa" w:w="309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以实际获批为准</w:t>
            </w:r>
          </w:p>
        </w:tc>
      </w:tr>
      <w:tr>
        <w:tc>
          <w:tcPr>
            <w:tcW w:type="dxa" w:w="309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工商注册地址</w:t>
            </w:r>
          </w:p>
        </w:tc>
        <w:tc>
          <w:tcPr>
            <w:tcW w:type="dxa" w:w="309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拟申请</w:t>
            </w:r>
          </w:p>
        </w:tc>
        <w:tc>
          <w:tcPr>
            <w:tcW w:type="dxa" w:w="309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入驻后依法设立新主体</w:t>
            </w:r>
          </w:p>
        </w:tc>
      </w:tr>
      <w:tr>
        <w:tc>
          <w:tcPr>
            <w:tcW w:type="dxa" w:w="309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开办辅导与代账</w:t>
            </w:r>
          </w:p>
        </w:tc>
        <w:tc>
          <w:tcPr>
            <w:tcW w:type="dxa" w:w="309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拟申请</w:t>
            </w:r>
          </w:p>
        </w:tc>
        <w:tc>
          <w:tcPr>
            <w:tcW w:type="dxa" w:w="309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未获批则自费办理</w:t>
            </w:r>
          </w:p>
        </w:tc>
      </w:tr>
      <w:tr>
        <w:tc>
          <w:tcPr>
            <w:tcW w:type="dxa" w:w="309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工具链与Tokens</w:t>
            </w:r>
          </w:p>
        </w:tc>
        <w:tc>
          <w:tcPr>
            <w:tcW w:type="dxa" w:w="309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拟申请</w:t>
            </w:r>
          </w:p>
        </w:tc>
        <w:tc>
          <w:tcPr>
            <w:tcW w:type="dxa" w:w="309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未获批则用自有接口继续开发</w:t>
            </w:r>
          </w:p>
        </w:tc>
      </w:tr>
      <w:tr>
        <w:tc>
          <w:tcPr>
            <w:tcW w:type="dxa" w:w="309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政策研究工具试用</w:t>
            </w:r>
          </w:p>
        </w:tc>
        <w:tc>
          <w:tcPr>
            <w:tcW w:type="dxa" w:w="309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拟为社区提供的贡献（计划）</w:t>
            </w:r>
          </w:p>
        </w:tc>
        <w:tc>
          <w:tcPr>
            <w:tcW w:type="dxa" w:w="309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向社区内项目开放试用</w:t>
            </w:r>
          </w:p>
        </w:tc>
      </w:tr>
      <w:tr>
        <w:tc>
          <w:tcPr>
            <w:tcW w:type="dxa" w:w="309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产业需求交流</w:t>
            </w:r>
          </w:p>
        </w:tc>
        <w:tc>
          <w:tcPr>
            <w:tcW w:type="dxa" w:w="309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拟为社区提供的贡献（计划）</w:t>
            </w:r>
          </w:p>
        </w:tc>
        <w:tc>
          <w:tcPr>
            <w:tcW w:type="dxa" w:w="309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参与或协助场景交流</w:t>
            </w:r>
          </w:p>
        </w:tc>
      </w:tr>
      <w:tr>
        <w:tc>
          <w:tcPr>
            <w:tcW w:type="dxa" w:w="309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经授权的政策与案例共建</w:t>
            </w:r>
          </w:p>
        </w:tc>
        <w:tc>
          <w:tcPr>
            <w:tcW w:type="dxa" w:w="309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拟为社区提供的贡献（计划）</w:t>
            </w:r>
          </w:p>
        </w:tc>
        <w:tc>
          <w:tcPr>
            <w:tcW w:type="dxa" w:w="309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须事先获得材料授权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1906" w:h="16838"/>
      <w:pgMar w:top="1134" w:right="130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宋体" w:cs="微软雅黑"/>
        <w:b w:val="0"/>
        <w:color w:val="555555"/>
        <w:sz w:val="16"/>
      </w:rPr>
      <w:t xml:space="preserve">复兴岛星火社区入驻申请材料  ·  仅供官方审核使用  ·  第 </w:t>
    </w:r>
    <w:fldChar w:fldCharType="begin"/>
    <w:instrText xml:space="preserve"> PAGE </w:instrText>
    <w:fldChar w:fldCharType="end"/>
    <w:r>
      <w:rPr>
        <w:rFonts w:ascii="微软雅黑" w:hAnsi="微软雅黑" w:eastAsia="宋体" w:cs="微软雅黑"/>
        <w:b w:val="0"/>
        <w:color w:val="555555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微软雅黑" w:hAnsi="微软雅黑" w:eastAsia="宋体" w:cs="微软雅黑"/>
        <w:b w:val="0"/>
        <w:color w:val="B88A2E"/>
        <w:sz w:val="18"/>
      </w:rPr>
      <w:t>星火社区申请  ·  业务计划书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