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A17C4C"/>
          <w:sz w:val="24"/>
        </w:rPr>
        <w:t>FUDAN · HPRC</w:t>
      </w:r>
    </w:p>
    <w:p>
      <w:pPr>
        <w:jc w:val="center"/>
      </w:pPr>
      <w:r>
        <w:rPr>
          <w:rFonts w:ascii="微软雅黑" w:hAnsi="微软雅黑" w:eastAsia="微软雅黑"/>
          <w:b/>
          <w:color w:val="123F55"/>
          <w:sz w:val="44"/>
        </w:rPr>
        <w:t>复旦大学住房政策研究中心</w:t>
      </w:r>
    </w:p>
    <w:p>
      <w:pPr>
        <w:jc w:val="center"/>
      </w:pPr>
      <w:r>
        <w:rPr>
          <w:rFonts w:ascii="微软雅黑" w:hAnsi="微软雅黑" w:eastAsia="微软雅黑"/>
          <w:b/>
          <w:color w:val="0B7584"/>
          <w:sz w:val="28"/>
        </w:rPr>
        <w:t>小程序执行文案（优化版 V1.1）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A6F7A"/>
          <w:sz w:val="20"/>
        </w:rPr>
        <w:t>—— 可直接交付设计、开发与宣传团队使用</w:t>
        <w:br/>
        <w:t>版本：V1.1 · 2026年7月</w:t>
      </w:r>
    </w:p>
    <w:p>
      <w:r>
        <w:rPr>
          <w:rFonts w:ascii="微软雅黑" w:hAnsi="微软雅黑" w:eastAsia="微软雅黑"/>
          <w:b w:val="0"/>
          <w:color w:val="5A6F7A"/>
          <w:sz w:val="20"/>
        </w:rPr>
        <w:t>优化说明：在 V1.0 基础上精炼定位表述、统一栏目语气、强化首页信息层级，并补充空态、加载与分享文案，便于直接落地开发。</w:t>
      </w:r>
    </w:p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产品总览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一句话定位</w:t>
            </w:r>
          </w:p>
        </w:tc>
        <w:tc>
          <w:tcPr>
            <w:tcW w:type="dxa" w:w="4320"/>
          </w:tcPr>
          <w:p>
            <w:r>
              <w:t>以住房政策研究为核心，连接学术成果、政策文件与公众居住关切，打造研究中心的数字化展示与知识服务平台。</w:t>
            </w:r>
          </w:p>
        </w:tc>
      </w:tr>
      <w:tr>
        <w:tc>
          <w:tcPr>
            <w:tcW w:type="dxa" w:w="4320"/>
          </w:tcPr>
          <w:p>
            <w:r>
              <w:t>产品定位</w:t>
            </w:r>
          </w:p>
        </w:tc>
        <w:tc>
          <w:tcPr>
            <w:tcW w:type="dxa" w:w="4320"/>
          </w:tcPr>
          <w:p>
            <w:r>
              <w:t>专业 · 权威 · 开放 · 有温度 · 具公共价值</w:t>
            </w:r>
          </w:p>
        </w:tc>
      </w:tr>
      <w:tr>
        <w:tc>
          <w:tcPr>
            <w:tcW w:type="dxa" w:w="4320"/>
          </w:tcPr>
          <w:p>
            <w:r>
              <w:t>适用对象</w:t>
            </w:r>
          </w:p>
        </w:tc>
        <w:tc>
          <w:tcPr>
            <w:tcW w:type="dxa" w:w="4320"/>
          </w:tcPr>
          <w:p>
            <w:r>
              <w:t>研究者、政策制定者、行业从业者、媒体与公众</w:t>
            </w:r>
          </w:p>
        </w:tc>
      </w:tr>
      <w:tr>
        <w:tc>
          <w:tcPr>
            <w:tcW w:type="dxa" w:w="4320"/>
          </w:tcPr>
          <w:p>
            <w:r>
              <w:t>核心栏目</w:t>
            </w:r>
          </w:p>
        </w:tc>
        <w:tc>
          <w:tcPr>
            <w:tcW w:type="dxa" w:w="4320"/>
          </w:tcPr>
          <w:p>
            <w:r>
              <w:t>首页｜研究成果｜政策数据库｜关于中心</w:t>
            </w:r>
          </w:p>
        </w:tc>
      </w:tr>
      <w:tr>
        <w:tc>
          <w:tcPr>
            <w:tcW w:type="dxa" w:w="4320"/>
          </w:tcPr>
          <w:p>
            <w:r>
              <w:t>交付用途</w:t>
            </w:r>
          </w:p>
        </w:tc>
        <w:tc>
          <w:tcPr>
            <w:tcW w:type="dxa" w:w="4320"/>
          </w:tcPr>
          <w:p>
            <w:r>
              <w:t>小程序内容录入、页面设计、上线传播、公众号推文与海报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一、首页执行文案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1. 顶部主视觉</w:t>
      </w:r>
    </w:p>
    <w:p>
      <w:r>
        <w:rPr>
          <w:rFonts w:ascii="微软雅黑" w:hAnsi="微软雅黑" w:eastAsia="微软雅黑"/>
          <w:b w:val="0"/>
          <w:sz w:val="22"/>
        </w:rPr>
        <w:t>主标题：让每一份居住愿景，都有政策的答案</w:t>
        <w:br/>
        <w:t>副标题：以学术研究回应居住关切</w:t>
        <w:br/>
        <w:t>辅助文案：立足复旦，面向中国，连接学术与实践</w:t>
        <w:br/>
        <w:t>主按钮：查看研究成果</w:t>
        <w:br/>
        <w:t>次按钮：浏览政策数据库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2. 功能入口</w:t>
      </w:r>
    </w:p>
    <w:p>
      <w:r>
        <w:rPr>
          <w:rFonts w:ascii="微软雅黑" w:hAnsi="微软雅黑" w:eastAsia="微软雅黑"/>
          <w:b w:val="0"/>
          <w:sz w:val="22"/>
        </w:rPr>
        <w:t>研究成果：汇聚住房制度、房地产市场、城市更新与居住社会学等领域成果</w:t>
        <w:br/>
        <w:t>政策数据库：快速检索住房保障、租赁住房、城市更新等重要政策文件</w:t>
        <w:br/>
        <w:t>研究地图：梳理住房政策研究在不同城市与区域的实践脉络</w:t>
        <w:br/>
        <w:t>关于中心：了解中心定位、研究团队与学术合作方向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3. 中心动态</w:t>
      </w:r>
    </w:p>
    <w:p>
      <w:r>
        <w:rPr>
          <w:rFonts w:ascii="微软雅黑" w:hAnsi="微软雅黑" w:eastAsia="微软雅黑"/>
          <w:b w:val="0"/>
          <w:sz w:val="22"/>
        </w:rPr>
        <w:t>最新发布｜2025年中国住房发展报告：从增量扩张走向存量提质</w:t>
        <w:br/>
        <w:t>中心活动｜住房政策前沿讲座：保障性住房高质量发展路径</w:t>
        <w:br/>
        <w:t>学术观点｜城市更新中的居住公平与空间治理</w:t>
        <w:br/>
        <w:t>按钮：查看全部动态</w:t>
      </w:r>
    </w:p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二、研究成果页面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页面介绍</w:t>
      </w:r>
    </w:p>
    <w:p>
      <w:r>
        <w:rPr>
          <w:rFonts w:ascii="微软雅黑" w:hAnsi="微软雅黑" w:eastAsia="微软雅黑"/>
          <w:b w:val="0"/>
          <w:sz w:val="22"/>
        </w:rPr>
        <w:t>聚焦中国住房制度与城市居住问题，持续产出有温度、有证据的研究。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分类标签</w:t>
      </w:r>
    </w:p>
    <w:p>
      <w:r>
        <w:rPr>
          <w:rFonts w:ascii="微软雅黑" w:hAnsi="微软雅黑" w:eastAsia="微软雅黑"/>
          <w:b w:val="0"/>
          <w:sz w:val="22"/>
        </w:rPr>
        <w:t>全部｜研究报告｜学术论文｜中心活动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交互提示</w:t>
      </w:r>
    </w:p>
    <w:p>
      <w:r>
        <w:rPr>
          <w:rFonts w:ascii="微软雅黑" w:hAnsi="微软雅黑" w:eastAsia="微软雅黑"/>
          <w:b w:val="0"/>
          <w:sz w:val="22"/>
        </w:rPr>
        <w:t>点击分类标签切换内容；点击卡片进入摘要/详情。</w:t>
        <w:br/>
        <w:t>空态：相关研究正在整理中，敬请期待</w:t>
        <w:br/>
        <w:t>加载中：正在加载研究成果…</w:t>
      </w:r>
    </w:p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三、政策数据库页面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页面介绍</w:t>
      </w:r>
    </w:p>
    <w:p>
      <w:r>
        <w:rPr>
          <w:rFonts w:ascii="微软雅黑" w:hAnsi="微软雅黑" w:eastAsia="微软雅黑"/>
          <w:b w:val="0"/>
          <w:sz w:val="22"/>
        </w:rPr>
        <w:t>收录住房与城市发展领域重要政策文件，支持按主题快速查找。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搜索与分类</w:t>
      </w:r>
    </w:p>
    <w:p>
      <w:r>
        <w:rPr>
          <w:rFonts w:ascii="微软雅黑" w:hAnsi="微软雅黑" w:eastAsia="微软雅黑"/>
          <w:b w:val="0"/>
          <w:sz w:val="22"/>
        </w:rPr>
        <w:t>搜索提示：搜索政策名称、发布机构</w:t>
        <w:br/>
        <w:t>分类：全部｜住房保障｜租赁住房｜城市更新｜房地产市场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空态与底部</w:t>
      </w:r>
    </w:p>
    <w:p>
      <w:r>
        <w:rPr>
          <w:rFonts w:ascii="微软雅黑" w:hAnsi="微软雅黑" w:eastAsia="微软雅黑"/>
          <w:b w:val="0"/>
          <w:sz w:val="22"/>
        </w:rPr>
        <w:t>空态：未找到相关政策，试试其他关键词</w:t>
        <w:br/>
        <w:t>底部：数据持续更新中 · 欢迎研究者向中心推荐政策资料</w:t>
      </w:r>
    </w:p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四、关于中心页面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主文案</w:t>
      </w:r>
    </w:p>
    <w:p>
      <w:r>
        <w:rPr>
          <w:rFonts w:ascii="微软雅黑" w:hAnsi="微软雅黑" w:eastAsia="微软雅黑"/>
          <w:b w:val="0"/>
          <w:sz w:val="22"/>
        </w:rPr>
        <w:t>主标题：住房政策研究中心</w:t>
        <w:br/>
        <w:t>副标题：立足复旦，面向中国，连接学术与实践</w:t>
        <w:br/>
        <w:t>简介：致力于住房制度、房地产市场、城市更新与居住社会学等领域的学术研究和政策咨询，推动构建更加公平、可持续、有韧性的居住体系。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研究方向</w:t>
      </w:r>
    </w:p>
    <w:p>
      <w:r>
        <w:rPr>
          <w:rFonts w:ascii="微软雅黑" w:hAnsi="微软雅黑" w:eastAsia="微软雅黑"/>
          <w:b w:val="0"/>
          <w:sz w:val="22"/>
        </w:rPr>
        <w:t>住房制度与住房保障；房地产市场与金融；城市更新与社区治理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联系方式</w:t>
      </w:r>
    </w:p>
    <w:p>
      <w:r>
        <w:rPr>
          <w:rFonts w:ascii="微软雅黑" w:hAnsi="微软雅黑" w:eastAsia="微软雅黑"/>
          <w:b w:val="0"/>
          <w:sz w:val="22"/>
        </w:rPr>
        <w:t>与我们保持联系｜欢迎学术交流、政策咨询与合作</w:t>
        <w:br/>
        <w:t>hprc@fudan.edu.cn｜上海市杨浦区邯郸路 220 号</w:t>
      </w:r>
    </w:p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五、全局交互与分享文案（新增）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分享与系统</w:t>
      </w:r>
    </w:p>
    <w:p>
      <w:r>
        <w:rPr>
          <w:rFonts w:ascii="微软雅黑" w:hAnsi="微软雅黑" w:eastAsia="微软雅黑"/>
          <w:b w:val="0"/>
          <w:sz w:val="22"/>
        </w:rPr>
        <w:t>小程序名称：复旦住房政策研究中心</w:t>
        <w:br/>
        <w:t>分享标题：读懂住房政策，看见城市未来</w:t>
        <w:br/>
        <w:t>分享描述：复旦大学住房政策研究中心 · 研究成果与政策数据库</w:t>
        <w:br/>
        <w:t>网络异常：网络开小差了，请稍后重试</w:t>
        <w:br/>
        <w:t>复制成功：已复制到剪贴板</w:t>
        <w:br/>
        <w:t>底部版权：© 复旦大学住房政策研究中心</w:t>
      </w:r>
    </w:p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六、视觉规范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色彩</w:t>
      </w:r>
    </w:p>
    <w:p>
      <w:r>
        <w:rPr>
          <w:rFonts w:ascii="微软雅黑" w:hAnsi="微软雅黑" w:eastAsia="微软雅黑"/>
          <w:b w:val="0"/>
          <w:sz w:val="22"/>
        </w:rPr>
        <w:t>深蓝 #123F55｜青绿 #0B7584｜暖金 #A17C4C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主视觉提示词</w:t>
      </w:r>
    </w:p>
    <w:p>
      <w:r>
        <w:rPr>
          <w:rFonts w:ascii="微软雅黑" w:hAnsi="微软雅黑" w:eastAsia="微软雅黑"/>
          <w:b w:val="0"/>
          <w:sz w:val="22"/>
        </w:rPr>
        <w:t>复旦大学校园与现代城市住宅融合的高端学术视觉，清晨自然光，深蓝与青绿色主色调，具有公共政策研究机构气质，简洁克制，留出标题排版空间，16:9。</w:t>
      </w:r>
    </w:p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七、宣传推广文案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正式学术型</w:t>
      </w:r>
    </w:p>
    <w:p>
      <w:r>
        <w:rPr>
          <w:rFonts w:ascii="微软雅黑" w:hAnsi="微软雅黑" w:eastAsia="微软雅黑"/>
          <w:b w:val="0"/>
          <w:sz w:val="22"/>
        </w:rPr>
        <w:t>关注住房问题，理解城市发展。复旦大学住房政策研究中心小程序正式上线。这里汇聚住房政策研究成果、重要政策文件与中心最新动态，以学术研究回应真实居住需求。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公众传播型</w:t>
      </w:r>
    </w:p>
    <w:p>
      <w:r>
        <w:rPr>
          <w:rFonts w:ascii="微软雅黑" w:hAnsi="微软雅黑" w:eastAsia="微软雅黑"/>
          <w:b w:val="0"/>
          <w:sz w:val="22"/>
        </w:rPr>
        <w:t>住房政策，与你我有关。从保障性住房到城市更新，从租赁市场到居住公平，复旦大学住房政策研究中心小程序，带你快速了解住房领域的重要研究与政策变化。</w:t>
      </w:r>
    </w:p>
    <w:p>
      <w:pPr>
        <w:pStyle w:val="Heading2"/>
      </w:pPr>
      <w:r>
        <w:rPr>
          <w:rFonts w:ascii="微软雅黑" w:hAnsi="微软雅黑" w:eastAsia="微软雅黑"/>
          <w:b/>
          <w:color w:val="123F55"/>
          <w:sz w:val="26"/>
        </w:rPr>
        <w:t>海报口号</w:t>
      </w:r>
    </w:p>
    <w:p>
      <w:r>
        <w:rPr>
          <w:rFonts w:ascii="微软雅黑" w:hAnsi="微软雅黑" w:eastAsia="微软雅黑"/>
          <w:b w:val="0"/>
          <w:sz w:val="22"/>
        </w:rPr>
        <w:t>读懂住房政策｜看见城市未来</w:t>
      </w:r>
    </w:p>
    <w:p>
      <w:pPr>
        <w:pStyle w:val="Heading1"/>
      </w:pPr>
      <w:r>
        <w:rPr>
          <w:rFonts w:ascii="微软雅黑" w:hAnsi="微软雅黑" w:eastAsia="微软雅黑"/>
          <w:b/>
          <w:color w:val="123F55"/>
          <w:sz w:val="32"/>
        </w:rPr>
        <w:t>八、上线执行清单</w:t>
      </w:r>
    </w:p>
    <w:p>
      <w:pPr>
        <w:pStyle w:val="ListBullet"/>
      </w:pPr>
      <w:r>
        <w:t>确认中心名称、Logo、邮箱和地址等基础信息</w:t>
      </w:r>
    </w:p>
    <w:p>
      <w:pPr>
        <w:pStyle w:val="ListBullet"/>
      </w:pPr>
      <w:r>
        <w:t>替换小程序中的演示数据，接入研究成果与政策数据库</w:t>
      </w:r>
    </w:p>
    <w:p>
      <w:pPr>
        <w:pStyle w:val="ListBullet"/>
      </w:pPr>
      <w:r>
        <w:t>准备首页主视觉图、研究卡片封面和中心介绍配图</w:t>
      </w:r>
    </w:p>
    <w:p>
      <w:pPr>
        <w:pStyle w:val="ListBullet"/>
      </w:pPr>
      <w:r>
        <w:t>完成微信开发者工具真机预览，检查文字、按钮和页面跳转</w:t>
      </w:r>
    </w:p>
    <w:p>
      <w:pPr>
        <w:pStyle w:val="ListBullet"/>
      </w:pPr>
      <w:r>
        <w:t>同步发布公众号推文、海报与短视频预告</w:t>
      </w:r>
    </w:p>
    <w:p>
      <w:pPr>
        <w:pStyle w:val="ListBullet"/>
      </w:pPr>
      <w:r>
        <w:t>配置小程序分享卡片文案与封面图</w:t>
      </w:r>
    </w:p>
    <w:p>
      <w:pPr>
        <w:pStyle w:val="ListBullet"/>
      </w:pPr>
      <w:r>
        <w:t>完成隐私政策与用户协议页（如需收集用户信息）</w:t>
      </w:r>
    </w:p>
    <w:p>
      <w:r>
        <w:rPr>
          <w:rFonts w:ascii="微软雅黑" w:hAnsi="微软雅黑" w:eastAsia="微软雅黑"/>
          <w:b w:val="0"/>
          <w:color w:val="5A6F7A"/>
          <w:sz w:val="18"/>
        </w:rPr>
        <w:t>备注：本文件为内容与视觉执行底稿。当前研究成果、政策条目及日期均为演示示例；正式上线前请由中心确认并替换为最终信息。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