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处均为根据「2026 AI 商业化峰会·晚宴冠名战略合作伙伴」合作实际信息补充填入，请乙方法务/财务/业务侧分别 review 后确认。本次合作合同总价 100,000 元为不含税金额，甲方另行承担 3% 增值税 3,000 元，实际支付总额 103,000 元；乙方系民办非企业单位（民非组织），按 3% 简易计税。所有甲方公司信息、开票信息、联系人、签署主体均保留空白由甲方自行填写。</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103,000</w:t>
      </w:r>
      <w:r>
        <w:rPr>
          <w:b w:val="0"/>
          <w:color w:val="000000"/>
          <w:sz w:val="21"/>
          <w:rFonts w:eastAsia="宋体" w:ascii="宋体" w:hAnsi="宋体"/>
        </w:rPr>
        <w:t>元，大写：人民币</w:t>
      </w:r>
      <w:r>
        <w:rPr>
          <w:b/>
          <w:color w:val="C00000"/>
          <w:sz w:val="21"/>
          <w:highlight w:val="yellow"/>
          <w:rFonts w:eastAsia="宋体" w:ascii="宋体" w:hAnsi="宋体"/>
        </w:rPr>
        <w:t>壹拾万叁仟</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100,000</w:t>
      </w:r>
      <w:r>
        <w:rPr>
          <w:b w:val="0"/>
          <w:color w:val="000000"/>
          <w:sz w:val="21"/>
          <w:rFonts w:eastAsia="宋体" w:ascii="宋体" w:hAnsi="宋体"/>
        </w:rPr>
        <w:t>元，增值税税率</w:t>
      </w:r>
      <w:r>
        <w:rPr>
          <w:b/>
          <w:color w:val="C00000"/>
          <w:sz w:val="21"/>
          <w:highlight w:val="yellow"/>
          <w:rFonts w:eastAsia="宋体" w:ascii="宋体" w:hAnsi="宋体"/>
        </w:rPr>
        <w:t>3</w:t>
      </w:r>
      <w:r>
        <w:rPr>
          <w:b w:val="0"/>
          <w:color w:val="000000"/>
          <w:sz w:val="21"/>
          <w:rFonts w:eastAsia="宋体" w:ascii="宋体" w:hAnsi="宋体"/>
        </w:rPr>
        <w:t>%，增值税税金</w:t>
      </w:r>
      <w:r>
        <w:rPr>
          <w:b/>
          <w:color w:val="C00000"/>
          <w:sz w:val="21"/>
          <w:highlight w:val="yellow"/>
          <w:rFonts w:eastAsia="宋体" w:ascii="宋体" w:hAnsi="宋体"/>
        </w:rPr>
        <w:t>3,000</w:t>
      </w:r>
      <w:r>
        <w:rPr>
          <w:b/>
          <w:color w:val="C00000"/>
          <w:sz w:val="21"/>
          <w:highlight w:val="yellow"/>
          <w:rFonts w:eastAsia="宋体" w:ascii="宋体" w:hAnsi="宋体"/>
        </w:rPr>
        <w:t>元（该 3% 增值税税金由甲方另行承担，不在乙方实际收入金额内）</w:t>
      </w:r>
      <w:r>
        <w:rPr>
          <w:b w:val="0"/>
          <w:color w:val="000000"/>
          <w:sz w:val="21"/>
          <w:rFonts w:eastAsia="宋体" w:ascii="宋体" w:hAnsi="宋体"/>
        </w:rPr>
        <w:t>。</w:t>
      </w:r>
      <w:r>
        <w:rPr>
          <w:b/>
          <w:color w:val="C00000"/>
          <w:sz w:val="21"/>
          <w:highlight w:val="yellow"/>
          <w:rFonts w:eastAsia="宋体" w:ascii="宋体" w:hAnsi="宋体"/>
        </w:rPr>
        <w:t>乙方上海市杨浦区科技企业联合会系民办非企业单位（民非组织），按简易计税方式适用 3% 增值税征收率，乙方应在首次开票前向甲方提供有效的纳税资质证明文件。</w:t>
      </w:r>
      <w:r>
        <w:rPr>
          <w:b w:val="0"/>
          <w:color w:val="000000"/>
          <w:sz w:val="21"/>
          <w:rFonts w:eastAsia="宋体" w:ascii="宋体" w:hAnsi="宋体"/>
        </w:rPr>
        <w:t>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（鉴于活动已于 2026 年 5 月 22 日实际完成，本次合作采用方式 (2) 后置一次性付款；甲方应支付乙方含税总额 103,000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及预算调配涉及商业秘密与经营自主权，不接受任何形式的外部审计、监督或检查。）</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2、如果乙方邀约嘉宾（客户）出席率</w:t>
      </w:r>
      <w:r>
        <w:rPr>
          <w:b/>
          <w:color w:val="C00000"/>
          <w:sz w:val="21"/>
          <w:highlight w:val="yellow"/>
          <w:rFonts w:eastAsia="宋体" w:ascii="宋体" w:hAnsi="宋体"/>
        </w:rPr>
        <w:t>明显低于第四条第 1 项乙方所尽合理之力所对应的合理水平</w:t>
      </w:r>
      <w:r>
        <w:rPr>
          <w:b w:val="0"/>
          <w:color w:val="000000"/>
          <w:sz w:val="21"/>
          <w:rFonts w:eastAsia="宋体" w:ascii="宋体" w:hAnsi="宋体"/>
        </w:rPr>
        <w:t>（参照基准：出席率低于</w:t>
      </w:r>
      <w:r>
        <w:rPr>
          <w:b/>
          <w:color w:val="C00000"/>
          <w:sz w:val="21"/>
          <w:highlight w:val="yellow"/>
          <w:rFonts w:eastAsia="宋体" w:ascii="宋体" w:hAnsi="宋体"/>
        </w:rPr>
        <w:t>60</w:t>
      </w:r>
      <w:r>
        <w:rPr>
          <w:b w:val="0"/>
          <w:color w:val="000000"/>
          <w:sz w:val="21"/>
          <w:rFonts w:eastAsia="宋体" w:ascii="宋体" w:hAnsi="宋体"/>
        </w:rPr>
        <w:t>%）</w:t>
      </w:r>
      <w:r>
        <w:rPr>
          <w:b w:val="0"/>
          <w:color w:val="000000"/>
          <w:sz w:val="21"/>
          <w:rFonts w:eastAsia="宋体" w:ascii="宋体" w:hAnsi="宋体"/>
        </w:rPr>
        <w:t>，甲方有权解除本合同，在本合同解除之日起的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元违约金，并赔偿甲方因此遭受的全部损失。如逾期返还赞助费或赞助物资，每逾期一日，乙方应向甲方支付合同总价万分之一每日的违约金。</w:t>
      </w:r>
      <w:r>
        <w:rPr>
          <w:b/>
          <w:color w:val="C00000"/>
          <w:sz w:val="21"/>
          <w:highlight w:val="yellow"/>
          <w:rFonts w:eastAsia="宋体" w:ascii="宋体" w:hAnsi="宋体"/>
        </w:rPr>
        <w:t>（关于「不一致率超过【】%」条款，鉴于第四条第 1 项乙方义务基于《个人信息保护法》合规要求未对参会名单作硬性提交承诺，故本款不再考核邀约嘉宾一致性。）</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朱震（秘书长）</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