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88" w:lineRule="auto"/>
        <w:jc w:val="center"/>
        <w:keepLines/>
        <w:keepNext/>
      </w:pPr>
      <w:r>
        <w:rPr>
          <w:rFonts w:ascii="黑体" w:hAnsi="黑体" w:eastAsia="黑体" w:cs="黑体"/>
          <w:b/>
          <w:color w:val="1F4E79"/>
          <w:sz w:val="36"/>
        </w:rPr>
        <w:t>重庆市九龙坡区高质量推动城市更新</w:t>
      </w:r>
    </w:p>
    <w:p>
      <w:pPr>
        <w:spacing w:before="0" w:after="80" w:line="288" w:lineRule="auto"/>
        <w:jc w:val="center"/>
        <w:keepLines/>
        <w:keepNext/>
      </w:pPr>
      <w:r>
        <w:rPr>
          <w:rFonts w:ascii="黑体" w:hAnsi="黑体" w:eastAsia="黑体" w:cs="黑体"/>
          <w:b/>
          <w:color w:val="1F4E79"/>
          <w:sz w:val="36"/>
        </w:rPr>
        <w:t>“十五五”时期实施方案</w:t>
      </w:r>
    </w:p>
    <w:p>
      <w:pPr>
        <w:spacing w:before="0" w:after="40" w:line="288" w:lineRule="auto"/>
        <w:jc w:val="center"/>
        <w:keepLines/>
        <w:keepNext/>
      </w:pPr>
      <w:r>
        <w:rPr>
          <w:rFonts w:ascii="黑体" w:hAnsi="黑体" w:eastAsia="黑体" w:cs="黑体"/>
          <w:b/>
          <w:color w:val="222222"/>
          <w:sz w:val="32"/>
        </w:rPr>
        <w:t>联合投标工作方案</w:t>
      </w:r>
    </w:p>
    <w:p>
      <w:pPr>
        <w:spacing w:before="0" w:after="80" w:line="288" w:lineRule="auto"/>
        <w:jc w:val="center"/>
        <w:keepLines/>
        <w:keepNext/>
      </w:pPr>
      <w:r>
        <w:rPr>
          <w:rFonts w:ascii="宋体" w:hAnsi="宋体" w:eastAsia="宋体" w:cs="宋体"/>
          <w:b w:val="0"/>
          <w:color w:val="595959"/>
          <w:sz w:val="24"/>
        </w:rPr>
        <w:t>报名、分工、技术方案框架及时间安排</w:t>
      </w:r>
    </w:p>
    <w:p>
      <w:pPr>
        <w:spacing w:before="0" w:after="160" w:line="276" w:lineRule="auto"/>
        <w:jc w:val="center"/>
        <w:keepLines/>
        <w:keepNext/>
      </w:pPr>
      <w:r>
        <w:rPr>
          <w:rFonts w:ascii="宋体" w:hAnsi="宋体" w:eastAsia="宋体" w:cs="宋体"/>
          <w:b w:val="0"/>
          <w:color w:val="595959"/>
          <w:sz w:val="21"/>
        </w:rPr>
        <w:t>竞争性磋商　·　项目编号 JLP26C00100　·　2026年9月</w:t>
      </w:r>
    </w:p>
    <w:tbl>
      <w:tblPr>
        <w:tblW w:type="dxa" w:w="9072"/>
        <w:jc w:val="center"/>
        <w:tblLayout w:type="fixed"/>
        <w:tblLook w:firstColumn="1" w:firstRow="1" w:lastColumn="0" w:lastRow="0" w:noHBand="0" w:noVBand="1" w:val="04A0"/>
        <w:tblBorders>
          <w:top w:val="single" w:sz="12" w:space="0" w:color="1F4E79"/>
          <w:left w:val="single" w:sz="12" w:space="0" w:color="1F4E79"/>
          <w:bottom w:val="single" w:sz="12" w:space="0" w:color="1F4E79"/>
          <w:right w:val="single" w:sz="12" w:space="0" w:color="1F4E79"/>
          <w:insideH w:val="single" w:sz="12" w:space="0" w:color="1F4E79"/>
          <w:insideV w:val="single" w:sz="12" w:space="0" w:color="1F4E79"/>
        </w:tblBorders>
      </w:tblPr>
      <w:tblGrid>
        <w:gridCol w:w="9072"/>
      </w:tblGrid>
      <w:tr>
        <w:trPr>
          <w:cantSplit/>
        </w:trPr>
        <w:tc>
          <w:tcPr>
            <w:tcW w:type="dxa" w:w="9072"/>
            <w:vAlign w:val="center"/>
            <w:shd w:val="clear" w:color="auto" w:fill="FDECEC"/>
            <w:tcMar>
              <w:top w:w="80" w:type="dxa"/>
              <w:left w:w="120" w:type="dxa"/>
              <w:bottom w:w="80" w:type="dxa"/>
              <w:right w:w="120" w:type="dxa"/>
            </w:tcMar>
          </w:tcPr>
          <w:p>
            <w:pPr>
              <w:spacing w:before="0" w:after="40" w:line="288" w:lineRule="auto"/>
              <w:jc w:val="left"/>
              <w:keepLines/>
            </w:pPr>
            <w:r/>
            <w:r>
              <w:rPr>
                <w:rFonts w:ascii="黑体" w:hAnsi="黑体" w:eastAsia="黑体" w:cs="黑体"/>
                <w:b/>
                <w:color w:val="C00000"/>
                <w:sz w:val="22"/>
              </w:rPr>
              <w:t>办理时限</w:t>
            </w:r>
          </w:p>
          <w:p>
            <w:pPr>
              <w:spacing w:before="0" w:after="0" w:line="312" w:lineRule="auto"/>
              <w:jc w:val="both"/>
              <w:keepLines/>
            </w:pPr>
            <w:r>
              <w:rPr>
                <w:rFonts w:ascii="宋体" w:hAnsi="宋体" w:eastAsia="宋体" w:cs="宋体"/>
                <w:b w:val="0"/>
                <w:color w:val="222222"/>
                <w:sz w:val="22"/>
              </w:rPr>
              <w:t>采购文件获取截止：2026年9月18日18:00。响应文件递交截止及磋商时间：2026年9月23日14:30。须在重庆政府采购网完成网上报名且审核通过，方视为合法获取采购文件；公告网页所附文件仅供阅览，不能替代正式报名。</w:t>
            </w:r>
          </w:p>
        </w:tc>
      </w:tr>
    </w:tbl>
    <w:p>
      <w:pPr>
        <w:spacing w:before="200" w:after="120" w:line="300" w:lineRule="auto"/>
        <w:jc w:val="left"/>
        <w:keepLines/>
        <w:keepNext/>
        <w:pBdr>
          <w:bottom w:val="single" w:sz="12" w:space="3" w:color="1F4E79"/>
        </w:pBdr>
      </w:pPr>
      <w:r>
        <w:rPr>
          <w:rFonts w:ascii="黑体" w:hAnsi="黑体" w:eastAsia="黑体" w:cs="黑体"/>
          <w:b/>
          <w:color w:val="1F4E79"/>
          <w:sz w:val="28"/>
        </w:rPr>
        <w:t>一、项目基本信息</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381"/>
        <w:gridCol w:w="6690"/>
      </w:tblGrid>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项目名称</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2"/>
              </w:rPr>
              <w:t>重庆市九龙坡区高质量推动城市更新“十五五”时期实施方案</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项目编号</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keepNext/>
            </w:pPr>
            <w:r/>
            <w:r>
              <w:rPr>
                <w:rFonts w:ascii="宋体" w:hAnsi="宋体" w:eastAsia="宋体" w:cs="宋体"/>
                <w:b/>
                <w:color w:val="C00000"/>
                <w:sz w:val="22"/>
              </w:rPr>
              <w:t>JLP26C00100</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采购单位</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2"/>
              </w:rPr>
              <w:t>重庆市九龙坡区住房和城乡建设委员会</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采购方式</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keepNext/>
            </w:pPr>
            <w:r/>
            <w:r>
              <w:rPr>
                <w:rFonts w:ascii="宋体" w:hAnsi="宋体" w:eastAsia="宋体" w:cs="宋体"/>
                <w:b w:val="0"/>
                <w:color w:val="222222"/>
                <w:sz w:val="22"/>
              </w:rPr>
              <w:t>竞争性磋商</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项目预算及最高限价</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2"/>
              </w:rPr>
              <w:t>132万元</w:t>
            </w:r>
          </w:p>
        </w:tc>
      </w:tr>
      <w:tr>
        <w:trPr>
          <w:cantSplit/>
        </w:trPr>
        <w:tc>
          <w:tcPr>
            <w:tcW w:type="dxa" w:w="2381"/>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采购文件获取截止</w:t>
            </w:r>
          </w:p>
        </w:tc>
        <w:tc>
          <w:tcPr>
            <w:tcW w:type="dxa" w:w="6690"/>
            <w:vAlign w:val="center"/>
            <w:tcMar>
              <w:top w:w="50" w:type="dxa"/>
              <w:left w:w="70" w:type="dxa"/>
              <w:bottom w:w="50" w:type="dxa"/>
              <w:right w:w="70" w:type="dxa"/>
            </w:tcMar>
            <w:shd w:val="clear" w:color="auto" w:fill="FDECEC"/>
          </w:tcPr>
          <w:p>
            <w:pPr>
              <w:spacing w:before="0" w:after="0" w:line="288" w:lineRule="auto"/>
              <w:jc w:val="left"/>
              <w:keepLines/>
              <w:keepNext/>
            </w:pPr>
            <w:r/>
            <w:r>
              <w:rPr>
                <w:rFonts w:ascii="宋体" w:hAnsi="宋体" w:eastAsia="宋体" w:cs="宋体"/>
                <w:b/>
                <w:color w:val="C00000"/>
                <w:sz w:val="22"/>
              </w:rPr>
              <w:t>2026年9月18日18:00</w:t>
            </w:r>
          </w:p>
        </w:tc>
      </w:tr>
      <w:tr>
        <w:trPr>
          <w:cantSplit/>
        </w:trPr>
        <w:tc>
          <w:tcPr>
            <w:tcW w:type="dxa" w:w="2381"/>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递交截止 / 磋商时间</w:t>
            </w:r>
          </w:p>
        </w:tc>
        <w:tc>
          <w:tcPr>
            <w:tcW w:type="dxa" w:w="6690"/>
            <w:vAlign w:val="center"/>
            <w:tcMar>
              <w:top w:w="50" w:type="dxa"/>
              <w:left w:w="70" w:type="dxa"/>
              <w:bottom w:w="50" w:type="dxa"/>
              <w:right w:w="70" w:type="dxa"/>
            </w:tcMar>
            <w:shd w:val="clear" w:color="auto" w:fill="FDECEC"/>
          </w:tcPr>
          <w:p>
            <w:pPr>
              <w:spacing w:before="0" w:after="0" w:line="288" w:lineRule="auto"/>
              <w:jc w:val="left"/>
              <w:keepLines/>
              <w:keepNext/>
            </w:pPr>
            <w:r/>
            <w:r>
              <w:rPr>
                <w:rFonts w:ascii="宋体" w:hAnsi="宋体" w:eastAsia="宋体" w:cs="宋体"/>
                <w:b/>
                <w:color w:val="C00000"/>
                <w:sz w:val="22"/>
              </w:rPr>
              <w:t>2026年9月23日14:30</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是否接受联合体</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keepNext/>
            </w:pPr>
            <w:r/>
            <w:r>
              <w:rPr>
                <w:rFonts w:ascii="宋体" w:hAnsi="宋体" w:eastAsia="宋体" w:cs="宋体"/>
                <w:b w:val="0"/>
                <w:color w:val="222222"/>
                <w:sz w:val="22"/>
              </w:rPr>
              <w:t>接受。联合体资格细则以磋商文件附件为准。</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pPr>
            <w:r/>
            <w:r>
              <w:rPr>
                <w:rFonts w:ascii="黑体" w:hAnsi="黑体" w:eastAsia="黑体" w:cs="黑体"/>
                <w:b/>
                <w:color w:val="1F4E79"/>
                <w:sz w:val="21"/>
              </w:rPr>
              <w:t>核心专业资质</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2"/>
              </w:rPr>
              <w:t>具备自然资源部颁发的有效城乡规划编制甲级资质，或城乡规划（国土空间规划）编制甲级资质。</w:t>
            </w:r>
          </w:p>
        </w:tc>
      </w:tr>
    </w:tbl>
    <w:p>
      <w:pPr>
        <w:spacing w:before="200" w:after="120" w:line="300" w:lineRule="auto"/>
        <w:jc w:val="left"/>
        <w:keepLines/>
        <w:keepNext/>
        <w:pBdr>
          <w:bottom w:val="single" w:sz="12" w:space="3" w:color="1F4E79"/>
        </w:pBdr>
      </w:pPr>
      <w:r>
        <w:rPr>
          <w:rFonts w:ascii="黑体" w:hAnsi="黑体" w:eastAsia="黑体" w:cs="黑体"/>
          <w:b/>
          <w:color w:val="1F4E79"/>
          <w:sz w:val="28"/>
        </w:rPr>
        <w:t>二、合作基础与报名主体</w:t>
      </w:r>
    </w:p>
    <w:p>
      <w:pPr>
        <w:spacing w:before="0" w:after="80" w:line="317" w:lineRule="auto"/>
        <w:ind w:firstLine="420"/>
        <w:jc w:val="both"/>
        <w:keepLines/>
      </w:pPr>
      <w:r>
        <w:rPr>
          <w:rFonts w:ascii="宋体" w:hAnsi="宋体" w:eastAsia="宋体" w:cs="宋体"/>
          <w:b w:val="0"/>
          <w:sz w:val="24"/>
        </w:rPr>
        <w:t>重庆大学建筑规划设计研究总院有限公司官方资料显示，其具备城乡规划编制甲级资质，并同时具有建筑、市政、工程咨询等资质，与本项目核心资质门槛及重庆本地执行要求相匹配。现阶段由该院完成项目报名及正式采购文件获取。</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381"/>
        <w:gridCol w:w="6690"/>
      </w:tblGrid>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拟牵头单位</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color w:val="C00000"/>
                <w:sz w:val="22"/>
              </w:rPr>
              <w:t>重庆大学建筑规划设计研究总院有限公司</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pPr>
            <w:r/>
            <w:r>
              <w:rPr>
                <w:rFonts w:ascii="黑体" w:hAnsi="黑体" w:eastAsia="黑体" w:cs="黑体"/>
                <w:b/>
                <w:color w:val="1F4E79"/>
                <w:sz w:val="21"/>
              </w:rPr>
              <w:t>拟联合研究单位</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2"/>
              </w:rPr>
              <w:t>复旦大学相关主体 / 复旦大学住房政策研究中心研究团队</w:t>
            </w:r>
          </w:p>
        </w:tc>
      </w:tr>
    </w:tbl>
    <w:p>
      <w:pPr>
        <w:spacing w:before="120" w:after="80" w:line="317" w:lineRule="auto"/>
        <w:ind w:firstLine="420"/>
        <w:jc w:val="both"/>
        <w:keepLines/>
      </w:pPr>
      <w:r>
        <w:rPr>
          <w:rFonts w:ascii="宋体" w:hAnsi="宋体" w:eastAsia="宋体" w:cs="宋体"/>
          <w:b w:val="0"/>
          <w:sz w:val="24"/>
        </w:rPr>
        <w:t>时间较紧：9月18日18:00前须完成合法获取采购文件，9月23日14:30前递交响应文件。本项目接受联合体，但联合体具体资格要求以磋商文件附件为准。</w:t>
      </w:r>
    </w:p>
    <w:p>
      <w:pPr>
        <w:spacing w:before="200" w:after="120" w:line="300" w:lineRule="auto"/>
        <w:jc w:val="left"/>
        <w:keepLines/>
        <w:keepNext/>
        <w:pBdr>
          <w:bottom w:val="single" w:sz="12" w:space="3" w:color="1F4E79"/>
        </w:pBdr>
      </w:pPr>
      <w:r>
        <w:rPr>
          <w:rFonts w:ascii="黑体" w:hAnsi="黑体" w:eastAsia="黑体" w:cs="黑体"/>
          <w:b/>
          <w:color w:val="1F4E79"/>
          <w:sz w:val="28"/>
        </w:rPr>
        <w:t>三、联合投标结构</w:t>
      </w:r>
    </w:p>
    <w:p>
      <w:pPr>
        <w:spacing w:before="0" w:after="80" w:line="317" w:lineRule="auto"/>
        <w:ind w:firstLine="420"/>
        <w:jc w:val="both"/>
        <w:keepLines/>
        <w:keepNext/>
      </w:pPr>
      <w:r>
        <w:rPr>
          <w:rFonts w:ascii="宋体" w:hAnsi="宋体" w:eastAsia="宋体" w:cs="宋体"/>
          <w:b w:val="0"/>
          <w:sz w:val="24"/>
        </w:rPr>
        <w:t>拟按下列结构推进联合投标：</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381"/>
        <w:gridCol w:w="6690"/>
      </w:tblGrid>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牵头方</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color w:val="C00000"/>
                <w:sz w:val="22"/>
              </w:rPr>
              <w:t>重庆大学建筑规划设计研究总院有限公司</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pPr>
            <w:r/>
            <w:r>
              <w:rPr>
                <w:rFonts w:ascii="黑体" w:hAnsi="黑体" w:eastAsia="黑体" w:cs="黑体"/>
                <w:b/>
                <w:color w:val="1F4E79"/>
                <w:sz w:val="21"/>
              </w:rPr>
              <w:t>联合体研究方 / 智库方</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2"/>
              </w:rPr>
              <w:t>复旦大学一侧（主体名称待核）</w:t>
            </w:r>
          </w:p>
        </w:tc>
      </w:tr>
    </w:tbl>
    <w:p>
      <w:pPr>
        <w:spacing w:before="120" w:after="80" w:line="317" w:lineRule="auto"/>
        <w:ind w:firstLine="420"/>
        <w:jc w:val="both"/>
        <w:keepLines/>
      </w:pPr>
      <w:r>
        <w:rPr>
          <w:rFonts w:ascii="宋体" w:hAnsi="宋体" w:eastAsia="宋体" w:cs="宋体"/>
          <w:b w:val="0"/>
          <w:sz w:val="24"/>
        </w:rPr>
        <w:t>重庆大学设计总院负责甲级规划资质、重庆本地基础、规划技术、空间方案、电子投标和商务组织；复旦一侧负责城市更新战略、住房政策、政策机制、全国案例、“十五五”实施逻辑、评估机制及智库成果。</w:t>
      </w:r>
    </w:p>
    <w:p>
      <w:pPr>
        <w:spacing w:before="160" w:after="60" w:line="300" w:lineRule="auto"/>
        <w:jc w:val="left"/>
        <w:keepLines/>
        <w:keepNext/>
      </w:pPr>
      <w:r>
        <w:rPr>
          <w:rFonts w:ascii="黑体" w:hAnsi="黑体" w:eastAsia="黑体" w:cs="黑体"/>
          <w:b/>
          <w:color w:val="1F4E79"/>
          <w:sz w:val="24"/>
        </w:rPr>
        <w:t>须当日核清的主体资格问题</w:t>
      </w:r>
    </w:p>
    <w:p>
      <w:pPr>
        <w:spacing w:before="0" w:after="80" w:line="317" w:lineRule="auto"/>
        <w:ind w:firstLine="420"/>
        <w:jc w:val="both"/>
        <w:keepLines/>
      </w:pPr>
      <w:r>
        <w:rPr>
          <w:rFonts w:ascii="宋体" w:hAnsi="宋体" w:eastAsia="宋体" w:cs="宋体"/>
          <w:b w:val="0"/>
          <w:sz w:val="24"/>
        </w:rPr>
        <w:t>“复旦大学住房政策研究中心”能否作为联合体成员签署采购合同，须对照磋商文件确认。若研究中心不是独立法人、不具备独立政府采购供应商资格，正式联合体成员应写“复旦大学”，不宜单独写“复旦大学住房政策研究中心”。研究中心可在项目团队和成果署名中体现，例如：</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381"/>
        <w:gridCol w:w="6690"/>
      </w:tblGrid>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keepNext/>
            </w:pPr>
            <w:r/>
            <w:r>
              <w:rPr>
                <w:rFonts w:ascii="黑体" w:hAnsi="黑体" w:eastAsia="黑体" w:cs="黑体"/>
                <w:b/>
                <w:color w:val="1F4E79"/>
                <w:sz w:val="21"/>
              </w:rPr>
              <w:t>联合体成员</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color w:val="C00000"/>
                <w:sz w:val="22"/>
              </w:rPr>
              <w:t>复旦大学</w:t>
            </w:r>
          </w:p>
        </w:tc>
      </w:tr>
      <w:tr>
        <w:trPr>
          <w:cantSplit/>
        </w:trPr>
        <w:tc>
          <w:tcPr>
            <w:tcW w:type="dxa" w:w="2381"/>
            <w:vAlign w:val="center"/>
            <w:tcMar>
              <w:top w:w="50" w:type="dxa"/>
              <w:left w:w="70" w:type="dxa"/>
              <w:bottom w:w="50" w:type="dxa"/>
              <w:right w:w="70" w:type="dxa"/>
            </w:tcMar>
            <w:shd w:val="clear" w:color="auto" w:fill="E7EEF5"/>
          </w:tcPr>
          <w:p>
            <w:pPr>
              <w:spacing w:before="0" w:after="0" w:line="288" w:lineRule="auto"/>
              <w:jc w:val="center"/>
              <w:keepLines/>
            </w:pPr>
            <w:r/>
            <w:r>
              <w:rPr>
                <w:rFonts w:ascii="黑体" w:hAnsi="黑体" w:eastAsia="黑体" w:cs="黑体"/>
                <w:b/>
                <w:color w:val="1F4E79"/>
                <w:sz w:val="21"/>
              </w:rPr>
              <w:t>项目实施团队</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2"/>
              </w:rPr>
              <w:t>复旦大学住房政策研究中心</w:t>
            </w:r>
          </w:p>
        </w:tc>
      </w:tr>
    </w:tbl>
    <w:p>
      <w:pPr>
        <w:spacing w:before="120" w:after="80" w:line="317" w:lineRule="auto"/>
        <w:ind w:firstLine="420"/>
        <w:jc w:val="both"/>
        <w:keepLines/>
      </w:pPr>
      <w:r>
        <w:rPr>
          <w:rFonts w:ascii="宋体" w:hAnsi="宋体" w:eastAsia="宋体" w:cs="宋体"/>
          <w:b w:val="0"/>
          <w:sz w:val="24"/>
        </w:rPr>
        <w:t>请重庆大学设计总院商务人员对照磋商文件确认，必要时当日电话询问采购代理机构（023-63024313）。联合体资格细则以采购文件附件为准。最终主体名称以磋商文件要求及代理机构确认口径为准。</w:t>
      </w:r>
    </w:p>
    <w:p>
      <w:pPr>
        <w:spacing w:before="200" w:after="120" w:line="300" w:lineRule="auto"/>
        <w:jc w:val="left"/>
        <w:keepLines/>
        <w:keepNext/>
        <w:pBdr>
          <w:bottom w:val="single" w:sz="12" w:space="3" w:color="1F4E79"/>
        </w:pBdr>
      </w:pPr>
      <w:r>
        <w:rPr>
          <w:rFonts w:ascii="黑体" w:hAnsi="黑体" w:eastAsia="黑体" w:cs="黑体"/>
          <w:b/>
          <w:color w:val="1F4E79"/>
          <w:sz w:val="28"/>
        </w:rPr>
        <w:t>四、双方工作分工</w:t>
      </w:r>
    </w:p>
    <w:p>
      <w:pPr>
        <w:spacing w:before="0" w:after="80" w:line="317" w:lineRule="auto"/>
        <w:ind w:firstLine="420"/>
        <w:jc w:val="both"/>
        <w:keepLines/>
        <w:keepNext/>
      </w:pPr>
      <w:r>
        <w:rPr>
          <w:rFonts w:ascii="宋体" w:hAnsi="宋体" w:eastAsia="宋体" w:cs="宋体"/>
          <w:b w:val="0"/>
          <w:sz w:val="24"/>
        </w:rPr>
        <w:t>复旦一侧不承担规划制图主责，定位为战略、政策与智库研究，与重庆大学设计总院的规划技术能力形成互补。</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3061"/>
        <w:gridCol w:w="1814"/>
        <w:gridCol w:w="2268"/>
        <w:gridCol w:w="1927"/>
      </w:tblGrid>
      <w:tr>
        <w:trPr>
          <w:tblHeader/>
          <w:cantSplit/>
        </w:trPr>
        <w:tc>
          <w:tcPr>
            <w:tcW w:type="dxa" w:w="3061"/>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19"/>
              </w:rPr>
              <w:t>工作模块</w:t>
            </w:r>
          </w:p>
        </w:tc>
        <w:tc>
          <w:tcPr>
            <w:tcW w:type="dxa" w:w="1814"/>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19"/>
              </w:rPr>
              <w:t>重大总院</w:t>
            </w:r>
          </w:p>
        </w:tc>
        <w:tc>
          <w:tcPr>
            <w:tcW w:type="dxa" w:w="2268"/>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19"/>
              </w:rPr>
              <w:t>复旦中心</w:t>
            </w:r>
          </w:p>
        </w:tc>
        <w:tc>
          <w:tcPr>
            <w:tcW w:type="dxa" w:w="1927"/>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19"/>
              </w:rPr>
              <w:t>牵头</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政府采购报名</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配合</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重庆采购网注册 / CA</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核主体资格</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联合体协议</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起草</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审核、盖章</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甲级规划资质</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提供</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商务标总体组织</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提供本方材料</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重庆 / 九龙坡现状研究</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城市更新空间规划</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更新项目梳理 / 空间布局</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重大总院</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“十五五”战略判断</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双方</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城市更新政策机制</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color w:val="1F4E79"/>
                <w:sz w:val="19"/>
              </w:rPr>
              <w:t>复旦</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住房与房地产专题</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color w:val="1F4E79"/>
                <w:sz w:val="19"/>
              </w:rPr>
              <w:t>复旦</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全国案例比较</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color w:val="1F4E79"/>
                <w:sz w:val="19"/>
              </w:rPr>
              <w:t>复旦</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城市更新实施机制</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 主笔</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color w:val="1F4E79"/>
                <w:sz w:val="19"/>
              </w:rPr>
              <w:t>复旦</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评估 / 监测指标体系</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 主笔</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color w:val="1F4E79"/>
                <w:sz w:val="19"/>
              </w:rPr>
              <w:t>复旦</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投融资 / 政策工具研究</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双方</w:t>
            </w:r>
          </w:p>
        </w:tc>
      </w:tr>
      <w:tr>
        <w:trPr>
          <w:cantSplit/>
        </w:trPr>
        <w:tc>
          <w:tcPr>
            <w:tcW w:type="dxa" w:w="3061"/>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19"/>
              </w:rPr>
              <w:t>成果汇报 / PPT</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w:t>
            </w:r>
          </w:p>
        </w:tc>
        <w:tc>
          <w:tcPr>
            <w:tcW w:type="dxa" w:w="1927"/>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19"/>
              </w:rPr>
              <w:t>双方</w:t>
            </w:r>
          </w:p>
        </w:tc>
      </w:tr>
      <w:tr>
        <w:trPr>
          <w:cantSplit/>
        </w:trPr>
        <w:tc>
          <w:tcPr>
            <w:tcW w:type="dxa" w:w="3061"/>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19"/>
              </w:rPr>
              <w:t>最终投标文件汇编上传</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w:t>
            </w:r>
          </w:p>
        </w:tc>
        <w:tc>
          <w:tcPr>
            <w:tcW w:type="dxa" w:w="2268"/>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配合</w:t>
            </w:r>
          </w:p>
        </w:tc>
        <w:tc>
          <w:tcPr>
            <w:tcW w:type="dxa" w:w="1927"/>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19"/>
              </w:rPr>
              <w:t>重大总院</w:t>
            </w:r>
          </w:p>
        </w:tc>
      </w:tr>
    </w:tbl>
    <w:p>
      <w:pPr>
        <w:spacing w:before="200" w:after="120" w:line="300" w:lineRule="auto"/>
        <w:jc w:val="left"/>
        <w:keepLines/>
        <w:keepNext/>
        <w:pBdr>
          <w:bottom w:val="single" w:sz="12" w:space="3" w:color="1F4E79"/>
        </w:pBdr>
      </w:pPr>
      <w:r>
        <w:rPr>
          <w:rFonts w:ascii="黑体" w:hAnsi="黑体" w:eastAsia="黑体" w:cs="黑体"/>
          <w:b/>
          <w:color w:val="1F4E79"/>
          <w:sz w:val="28"/>
        </w:rPr>
        <w:t>五、报名及采购文件获取</w:t>
      </w:r>
    </w:p>
    <w:p>
      <w:pPr>
        <w:spacing w:before="160" w:after="60" w:line="300" w:lineRule="auto"/>
        <w:jc w:val="left"/>
        <w:keepLines/>
        <w:keepNext/>
      </w:pPr>
      <w:r>
        <w:rPr>
          <w:rFonts w:ascii="黑体" w:hAnsi="黑体" w:eastAsia="黑体" w:cs="黑体"/>
          <w:b/>
          <w:color w:val="1F4E79"/>
          <w:sz w:val="24"/>
        </w:rPr>
        <w:t>（一）确认重庆市政府采购供应商账号</w:t>
      </w:r>
    </w:p>
    <w:p>
      <w:pPr>
        <w:spacing w:before="0" w:after="80" w:line="317" w:lineRule="auto"/>
        <w:ind w:firstLine="420"/>
        <w:jc w:val="both"/>
        <w:keepLines/>
      </w:pPr>
      <w:r>
        <w:rPr>
          <w:rFonts w:ascii="宋体" w:hAnsi="宋体" w:eastAsia="宋体" w:cs="宋体"/>
          <w:b w:val="0"/>
          <w:sz w:val="24"/>
        </w:rPr>
        <w:t>登录重庆市政府采购网，确认重庆大学建筑规划设计研究总院有限公司已注册为重庆市政府采购供应商。已有账号的，使用企业账号登录；尚未注册的，立即完成供应商注册及企业信息认证。参加本项目须先注册成为重庆市政府采购供应商。</w:t>
      </w:r>
    </w:p>
    <w:p>
      <w:pPr>
        <w:spacing w:before="160" w:after="60" w:line="300" w:lineRule="auto"/>
        <w:jc w:val="left"/>
        <w:keepLines/>
        <w:keepNext/>
      </w:pPr>
      <w:r>
        <w:rPr>
          <w:rFonts w:ascii="黑体" w:hAnsi="黑体" w:eastAsia="黑体" w:cs="黑体"/>
          <w:b/>
          <w:color w:val="1F4E79"/>
          <w:sz w:val="24"/>
        </w:rPr>
        <w:t>（二）确认CA数字证书可用</w:t>
      </w:r>
    </w:p>
    <w:p>
      <w:pPr>
        <w:spacing w:before="0" w:after="80" w:line="317" w:lineRule="auto"/>
        <w:ind w:firstLine="420"/>
        <w:jc w:val="both"/>
        <w:keepLines/>
      </w:pPr>
      <w:r>
        <w:rPr>
          <w:rFonts w:ascii="宋体" w:hAnsi="宋体" w:eastAsia="宋体" w:cs="宋体"/>
          <w:b w:val="0"/>
          <w:sz w:val="24"/>
        </w:rPr>
        <w:t>本项目为全流程电子招投标项目。须确认重庆大学设计总院已持有可在重庆市政府采购网使用的正式CA数字证书，并完成CA证书安装、电子签章测试、登录测试、投标文件加密及签章环境测试。</w:t>
      </w:r>
    </w:p>
    <w:p>
      <w:pPr>
        <w:spacing w:before="60" w:after="80" w:line="317" w:lineRule="auto"/>
        <w:ind w:firstLine="420"/>
        <w:jc w:val="both"/>
        <w:keepLines/>
        <w:keepNext/>
      </w:pPr>
      <w:r>
        <w:rPr>
          <w:rFonts w:ascii="宋体" w:hAnsi="宋体" w:eastAsia="宋体" w:cs="宋体"/>
          <w:b w:val="0"/>
          <w:sz w:val="24"/>
        </w:rPr>
        <w:t>首次参加重庆政府采购电子招投标项目的，进入：重庆市政府采购网 → 在线开评标 → 电子招投标中心，下载并按下列手册办理：</w:t>
      </w:r>
    </w:p>
    <w:p>
      <w:pPr>
        <w:spacing w:before="0" w:after="40" w:line="307" w:lineRule="auto"/>
        <w:ind w:left="227"/>
        <w:jc w:val="both"/>
        <w:keepLines/>
        <w:keepNext/>
      </w:pPr>
      <w:r>
        <w:rPr>
          <w:rFonts w:ascii="黑体" w:hAnsi="黑体" w:eastAsia="黑体" w:cs="黑体"/>
          <w:b/>
          <w:color w:val="1F4E79"/>
          <w:sz w:val="24"/>
        </w:rPr>
        <w:t xml:space="preserve">1.  </w:t>
      </w:r>
      <w:r>
        <w:rPr>
          <w:rFonts w:ascii="宋体" w:hAnsi="宋体" w:eastAsia="宋体" w:cs="宋体"/>
          <w:b w:val="0"/>
          <w:color w:val="222222"/>
          <w:sz w:val="24"/>
        </w:rPr>
        <w:t>《正式CA签章流程手册》</w:t>
      </w:r>
    </w:p>
    <w:p>
      <w:pPr>
        <w:spacing w:before="0" w:after="40" w:line="307" w:lineRule="auto"/>
        <w:ind w:left="227"/>
        <w:jc w:val="both"/>
        <w:keepLines/>
        <w:keepNext/>
      </w:pPr>
      <w:r>
        <w:rPr>
          <w:rFonts w:ascii="黑体" w:hAnsi="黑体" w:eastAsia="黑体" w:cs="黑体"/>
          <w:b/>
          <w:color w:val="1F4E79"/>
          <w:sz w:val="24"/>
        </w:rPr>
        <w:t xml:space="preserve">2.  </w:t>
      </w:r>
      <w:r>
        <w:rPr>
          <w:rFonts w:ascii="宋体" w:hAnsi="宋体" w:eastAsia="宋体" w:cs="宋体"/>
          <w:b w:val="0"/>
          <w:color w:val="222222"/>
          <w:sz w:val="24"/>
        </w:rPr>
        <w:t>《政府采购全程电子化采购系统供应商操作手册》</w:t>
      </w:r>
    </w:p>
    <w:p>
      <w:pPr>
        <w:spacing w:before="0" w:after="40" w:line="307" w:lineRule="auto"/>
        <w:ind w:left="227"/>
        <w:jc w:val="both"/>
        <w:keepLines/>
      </w:pPr>
      <w:r>
        <w:rPr>
          <w:rFonts w:ascii="黑体" w:hAnsi="黑体" w:eastAsia="黑体" w:cs="黑体"/>
          <w:b/>
          <w:color w:val="1F4E79"/>
          <w:sz w:val="24"/>
        </w:rPr>
        <w:t xml:space="preserve">3.  </w:t>
      </w:r>
      <w:r>
        <w:rPr>
          <w:rFonts w:ascii="宋体" w:hAnsi="宋体" w:eastAsia="宋体" w:cs="宋体"/>
          <w:b w:val="0"/>
          <w:color w:val="222222"/>
          <w:sz w:val="24"/>
        </w:rPr>
        <w:t>《政府采购CA版供应商投标前软件安装手册》</w:t>
      </w:r>
    </w:p>
    <w:p>
      <w:pPr>
        <w:spacing w:before="60" w:after="80" w:line="317" w:lineRule="auto"/>
        <w:ind w:firstLine="420"/>
        <w:jc w:val="both"/>
        <w:keepLines/>
      </w:pPr>
      <w:r>
        <w:rPr>
          <w:rFonts w:ascii="宋体" w:hAnsi="宋体" w:eastAsia="宋体" w:cs="宋体"/>
          <w:b/>
          <w:color w:val="C00000"/>
          <w:sz w:val="24"/>
        </w:rPr>
        <w:t>CA及投标环境须在报名阶段完成测试，勿延至2026年9月23日递交当日。</w:t>
      </w:r>
    </w:p>
    <w:p>
      <w:pPr>
        <w:spacing w:before="160" w:after="60" w:line="300" w:lineRule="auto"/>
        <w:jc w:val="left"/>
        <w:keepLines/>
        <w:keepNext/>
      </w:pPr>
      <w:r>
        <w:rPr>
          <w:rFonts w:ascii="黑体" w:hAnsi="黑体" w:eastAsia="黑体" w:cs="黑体"/>
          <w:b/>
          <w:color w:val="1F4E79"/>
          <w:sz w:val="24"/>
        </w:rPr>
        <w:t>（三）检索项目</w:t>
      </w:r>
    </w:p>
    <w:p>
      <w:pPr>
        <w:spacing w:before="0" w:after="80" w:line="317" w:lineRule="auto"/>
        <w:ind w:firstLine="420"/>
        <w:jc w:val="both"/>
        <w:keepLines/>
      </w:pPr>
      <w:r>
        <w:rPr>
          <w:rFonts w:ascii="宋体" w:hAnsi="宋体" w:eastAsia="宋体" w:cs="宋体"/>
          <w:b w:val="0"/>
          <w:sz w:val="24"/>
        </w:rPr>
        <w:t>登录重庆市政府采购网后，按下列路径进入：个人中心 → 在线开评标 → 电子标书在线获取。</w:t>
      </w:r>
    </w:p>
    <w:p>
      <w:pPr>
        <w:spacing w:before="0" w:after="80" w:line="317" w:lineRule="auto"/>
        <w:ind w:firstLine="420"/>
        <w:jc w:val="both"/>
        <w:keepLines/>
      </w:pPr>
      <w:r>
        <w:rPr>
          <w:rFonts w:ascii="宋体" w:hAnsi="宋体" w:eastAsia="宋体" w:cs="宋体"/>
          <w:b w:val="0"/>
          <w:sz w:val="24"/>
        </w:rPr>
        <w:t>按项目编号 JLP26C00100，或项目名称“重庆市九龙坡区高质量推动城市更新‘十五五’时期实施方案”检索。核对采购人为重庆市九龙坡区住房和城乡建设委员会、预算为132万元后进入项目。</w:t>
      </w:r>
    </w:p>
    <w:p>
      <w:pPr>
        <w:spacing w:before="160" w:after="60" w:line="300" w:lineRule="auto"/>
        <w:jc w:val="left"/>
        <w:keepLines/>
        <w:keepNext/>
      </w:pPr>
      <w:r>
        <w:rPr>
          <w:rFonts w:ascii="黑体" w:hAnsi="黑体" w:eastAsia="黑体" w:cs="黑体"/>
          <w:b/>
          <w:color w:val="1F4E79"/>
          <w:sz w:val="24"/>
        </w:rPr>
        <w:t>（四）网上报名并获取采购文件</w:t>
      </w:r>
    </w:p>
    <w:p>
      <w:pPr>
        <w:spacing w:before="0" w:after="80" w:line="317" w:lineRule="auto"/>
        <w:ind w:firstLine="420"/>
        <w:jc w:val="both"/>
        <w:keepLines/>
      </w:pPr>
      <w:r>
        <w:rPr>
          <w:rFonts w:ascii="宋体" w:hAnsi="宋体" w:eastAsia="宋体" w:cs="宋体"/>
          <w:b w:val="0"/>
          <w:sz w:val="24"/>
        </w:rPr>
        <w:t>按系统提示依次办理：报名申请 → 确认供应商信息 → 提交报名 → 在线获取竞争性磋商文件 → 确认报名审核状态。</w:t>
      </w:r>
    </w:p>
    <w:p>
      <w:pPr>
        <w:spacing w:before="0" w:after="80" w:line="317" w:lineRule="auto"/>
        <w:ind w:firstLine="420"/>
        <w:jc w:val="both"/>
        <w:keepLines/>
      </w:pPr>
      <w:r>
        <w:rPr>
          <w:rFonts w:ascii="宋体" w:hAnsi="宋体" w:eastAsia="宋体" w:cs="宋体"/>
          <w:b w:val="0"/>
          <w:sz w:val="24"/>
        </w:rPr>
        <w:t>公告网页所附《磋商文件（定稿）》仅供阅览，不能替代正式报名。须登录重庆市政府采购网完成网上报名申请，且报名审核通过，方视为合法获取采购文件；否则响应文件可能被拒绝。请确认报名状态为“审核通过”或“已成功获取采购文件”。</w:t>
      </w:r>
    </w:p>
    <w:p>
      <w:pPr>
        <w:spacing w:before="160" w:after="60" w:line="300" w:lineRule="auto"/>
        <w:jc w:val="left"/>
        <w:keepLines/>
        <w:keepNext/>
      </w:pPr>
      <w:r>
        <w:rPr>
          <w:rFonts w:ascii="黑体" w:hAnsi="黑体" w:eastAsia="黑体" w:cs="黑体"/>
          <w:b/>
          <w:color w:val="1F4E79"/>
          <w:sz w:val="24"/>
        </w:rPr>
        <w:t>（五）下载并保存全套正式资料</w:t>
      </w:r>
    </w:p>
    <w:p>
      <w:pPr>
        <w:spacing w:before="0" w:after="80" w:line="317" w:lineRule="auto"/>
        <w:ind w:firstLine="420"/>
        <w:jc w:val="both"/>
        <w:keepLines/>
        <w:keepNext/>
      </w:pPr>
      <w:r>
        <w:rPr>
          <w:rFonts w:ascii="宋体" w:hAnsi="宋体" w:eastAsia="宋体" w:cs="宋体"/>
          <w:b w:val="0"/>
          <w:sz w:val="24"/>
        </w:rPr>
        <w:t>报名成功后，下载并保存项目全部资料，至少包括：</w:t>
      </w:r>
    </w:p>
    <w:p>
      <w:pPr>
        <w:spacing w:before="0" w:after="40" w:line="307" w:lineRule="auto"/>
        <w:ind w:left="227"/>
        <w:jc w:val="both"/>
        <w:keepLines/>
        <w:keepNext/>
      </w:pPr>
      <w:r>
        <w:rPr>
          <w:rFonts w:ascii="黑体" w:hAnsi="黑体" w:eastAsia="黑体" w:cs="黑体"/>
          <w:b/>
          <w:color w:val="1F4E79"/>
          <w:sz w:val="24"/>
        </w:rPr>
        <w:t xml:space="preserve">1.  </w:t>
      </w:r>
      <w:r>
        <w:rPr>
          <w:rFonts w:ascii="宋体" w:hAnsi="宋体" w:eastAsia="宋体" w:cs="宋体"/>
          <w:b w:val="0"/>
          <w:color w:val="222222"/>
          <w:sz w:val="24"/>
        </w:rPr>
        <w:t>《重庆市九龙坡区高质量推动城市更新“十五五”时期实施方案竞争性磋商文件》</w:t>
      </w:r>
    </w:p>
    <w:p>
      <w:pPr>
        <w:spacing w:before="0" w:after="40" w:line="307" w:lineRule="auto"/>
        <w:ind w:left="227"/>
        <w:jc w:val="both"/>
        <w:keepLines/>
        <w:keepNext/>
      </w:pPr>
      <w:r>
        <w:rPr>
          <w:rFonts w:ascii="黑体" w:hAnsi="黑体" w:eastAsia="黑体" w:cs="黑体"/>
          <w:b/>
          <w:color w:val="1F4E79"/>
          <w:sz w:val="24"/>
        </w:rPr>
        <w:t xml:space="preserve">2.  </w:t>
      </w:r>
      <w:r>
        <w:rPr>
          <w:rFonts w:ascii="宋体" w:hAnsi="宋体" w:eastAsia="宋体" w:cs="宋体"/>
          <w:b w:val="0"/>
          <w:color w:val="222222"/>
          <w:sz w:val="24"/>
        </w:rPr>
        <w:t>项目公告附件</w:t>
      </w:r>
    </w:p>
    <w:p>
      <w:pPr>
        <w:spacing w:before="0" w:after="40" w:line="307" w:lineRule="auto"/>
        <w:ind w:left="227"/>
        <w:jc w:val="both"/>
        <w:keepLines/>
        <w:keepNext/>
      </w:pPr>
      <w:r>
        <w:rPr>
          <w:rFonts w:ascii="黑体" w:hAnsi="黑体" w:eastAsia="黑体" w:cs="黑体"/>
          <w:b/>
          <w:color w:val="1F4E79"/>
          <w:sz w:val="24"/>
        </w:rPr>
        <w:t xml:space="preserve">3.  </w:t>
      </w:r>
      <w:r>
        <w:rPr>
          <w:rFonts w:ascii="宋体" w:hAnsi="宋体" w:eastAsia="宋体" w:cs="宋体"/>
          <w:b w:val="0"/>
          <w:color w:val="222222"/>
          <w:sz w:val="24"/>
        </w:rPr>
        <w:t>《重庆市全流程电子招投标项目投标人办理正式CA签章流程手册》</w:t>
      </w:r>
    </w:p>
    <w:p>
      <w:pPr>
        <w:spacing w:before="0" w:after="40" w:line="307" w:lineRule="auto"/>
        <w:ind w:left="227"/>
        <w:jc w:val="both"/>
        <w:keepLines/>
        <w:keepNext/>
      </w:pPr>
      <w:r>
        <w:rPr>
          <w:rFonts w:ascii="黑体" w:hAnsi="黑体" w:eastAsia="黑体" w:cs="黑体"/>
          <w:b/>
          <w:color w:val="1F4E79"/>
          <w:sz w:val="24"/>
        </w:rPr>
        <w:t xml:space="preserve">4.  </w:t>
      </w:r>
      <w:r>
        <w:rPr>
          <w:rFonts w:ascii="宋体" w:hAnsi="宋体" w:eastAsia="宋体" w:cs="宋体"/>
          <w:b w:val="0"/>
          <w:color w:val="222222"/>
          <w:sz w:val="24"/>
        </w:rPr>
        <w:t>《政府采购全程电子化采购系统供应商操作手册》</w:t>
      </w:r>
    </w:p>
    <w:p>
      <w:pPr>
        <w:spacing w:before="0" w:after="40" w:line="307" w:lineRule="auto"/>
        <w:ind w:left="227"/>
        <w:jc w:val="both"/>
        <w:keepLines/>
        <w:keepNext/>
      </w:pPr>
      <w:r>
        <w:rPr>
          <w:rFonts w:ascii="黑体" w:hAnsi="黑体" w:eastAsia="黑体" w:cs="黑体"/>
          <w:b/>
          <w:color w:val="1F4E79"/>
          <w:sz w:val="24"/>
        </w:rPr>
        <w:t xml:space="preserve">5.  </w:t>
      </w:r>
      <w:r>
        <w:rPr>
          <w:rFonts w:ascii="宋体" w:hAnsi="宋体" w:eastAsia="宋体" w:cs="宋体"/>
          <w:b w:val="0"/>
          <w:color w:val="222222"/>
          <w:sz w:val="24"/>
        </w:rPr>
        <w:t>《政府采购CA版供应商投标前软件安装手册》</w:t>
      </w:r>
    </w:p>
    <w:p>
      <w:pPr>
        <w:spacing w:before="0" w:after="40" w:line="307" w:lineRule="auto"/>
        <w:ind w:left="227"/>
        <w:jc w:val="both"/>
        <w:keepLines/>
        <w:keepNext/>
      </w:pPr>
      <w:r>
        <w:rPr>
          <w:rFonts w:ascii="黑体" w:hAnsi="黑体" w:eastAsia="黑体" w:cs="黑体"/>
          <w:b/>
          <w:color w:val="1F4E79"/>
          <w:sz w:val="24"/>
        </w:rPr>
        <w:t xml:space="preserve">6.  </w:t>
      </w:r>
      <w:r>
        <w:rPr>
          <w:rFonts w:ascii="宋体" w:hAnsi="宋体" w:eastAsia="宋体" w:cs="宋体"/>
          <w:b w:val="0"/>
          <w:color w:val="222222"/>
          <w:sz w:val="24"/>
        </w:rPr>
        <w:t>联合体相关格式文件</w:t>
      </w:r>
    </w:p>
    <w:p>
      <w:pPr>
        <w:spacing w:before="0" w:after="40" w:line="307" w:lineRule="auto"/>
        <w:ind w:left="227"/>
        <w:jc w:val="both"/>
        <w:keepLines/>
        <w:keepNext/>
      </w:pPr>
      <w:r>
        <w:rPr>
          <w:rFonts w:ascii="黑体" w:hAnsi="黑体" w:eastAsia="黑体" w:cs="黑体"/>
          <w:b/>
          <w:color w:val="1F4E79"/>
          <w:sz w:val="24"/>
        </w:rPr>
        <w:t xml:space="preserve">7.  </w:t>
      </w:r>
      <w:r>
        <w:rPr>
          <w:rFonts w:ascii="宋体" w:hAnsi="宋体" w:eastAsia="宋体" w:cs="宋体"/>
          <w:b w:val="0"/>
          <w:color w:val="222222"/>
          <w:sz w:val="24"/>
        </w:rPr>
        <w:t>响应文件格式</w:t>
      </w:r>
    </w:p>
    <w:p>
      <w:pPr>
        <w:spacing w:before="0" w:after="40" w:line="307" w:lineRule="auto"/>
        <w:ind w:left="227"/>
        <w:jc w:val="both"/>
        <w:keepLines/>
        <w:keepNext/>
      </w:pPr>
      <w:r>
        <w:rPr>
          <w:rFonts w:ascii="黑体" w:hAnsi="黑体" w:eastAsia="黑体" w:cs="黑体"/>
          <w:b/>
          <w:color w:val="1F4E79"/>
          <w:sz w:val="24"/>
        </w:rPr>
        <w:t xml:space="preserve">8.  </w:t>
      </w:r>
      <w:r>
        <w:rPr>
          <w:rFonts w:ascii="宋体" w:hAnsi="宋体" w:eastAsia="宋体" w:cs="宋体"/>
          <w:b w:val="0"/>
          <w:color w:val="222222"/>
          <w:sz w:val="24"/>
        </w:rPr>
        <w:t>最新补遗、澄清、答疑和更正文件</w:t>
      </w:r>
    </w:p>
    <w:p>
      <w:pPr>
        <w:spacing w:before="0" w:after="40" w:line="307" w:lineRule="auto"/>
        <w:ind w:left="227"/>
        <w:jc w:val="both"/>
        <w:keepLines/>
      </w:pPr>
      <w:r>
        <w:rPr>
          <w:rFonts w:ascii="黑体" w:hAnsi="黑体" w:eastAsia="黑体" w:cs="黑体"/>
          <w:b/>
          <w:color w:val="1F4E79"/>
          <w:sz w:val="24"/>
        </w:rPr>
        <w:t xml:space="preserve">9.  </w:t>
      </w:r>
      <w:r>
        <w:rPr>
          <w:rFonts w:ascii="宋体" w:hAnsi="宋体" w:eastAsia="宋体" w:cs="宋体"/>
          <w:b w:val="0"/>
          <w:color w:val="222222"/>
          <w:sz w:val="24"/>
        </w:rPr>
        <w:t>平台后续新增的项目资料</w:t>
      </w:r>
    </w:p>
    <w:p>
      <w:pPr>
        <w:spacing w:before="60" w:after="80" w:line="317" w:lineRule="auto"/>
        <w:ind w:firstLine="420"/>
        <w:jc w:val="both"/>
        <w:keepLines/>
      </w:pPr>
      <w:r>
        <w:rPr>
          <w:rFonts w:ascii="宋体" w:hAnsi="宋体" w:eastAsia="宋体" w:cs="宋体"/>
          <w:b w:val="0"/>
          <w:sz w:val="24"/>
        </w:rPr>
        <w:t>正式采购文件获取后，请立即整体打包发送复旦大学住房政策研究中心项目组。</w:t>
      </w:r>
    </w:p>
    <w:p>
      <w:pPr>
        <w:spacing w:before="160" w:after="60" w:line="300" w:lineRule="auto"/>
        <w:jc w:val="left"/>
        <w:keepLines/>
        <w:keepNext/>
      </w:pPr>
      <w:r>
        <w:rPr>
          <w:rFonts w:ascii="黑体" w:hAnsi="黑体" w:eastAsia="黑体" w:cs="黑体"/>
          <w:b/>
          <w:color w:val="1F4E79"/>
          <w:sz w:val="24"/>
        </w:rPr>
        <w:t>（六）报名完成核对</w:t>
      </w:r>
    </w:p>
    <w:p>
      <w:pPr>
        <w:spacing w:before="0" w:after="80" w:line="317" w:lineRule="auto"/>
        <w:ind w:firstLine="420"/>
        <w:jc w:val="both"/>
        <w:keepLines/>
        <w:keepNext/>
      </w:pPr>
      <w:r>
        <w:rPr>
          <w:rFonts w:ascii="宋体" w:hAnsi="宋体" w:eastAsia="宋体" w:cs="宋体"/>
          <w:b w:val="0"/>
          <w:sz w:val="24"/>
        </w:rPr>
        <w:t>重庆大学设计总院商务人员完成操作后，请按下列五项核对，并保存报名成功页面、电子标书获取成功页面及项目状态截图，便于双方确认。</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850"/>
        <w:gridCol w:w="6633"/>
        <w:gridCol w:w="1587"/>
      </w:tblGrid>
      <w:tr>
        <w:trPr>
          <w:tblHeader/>
          <w:cantSplit/>
        </w:trPr>
        <w:tc>
          <w:tcPr>
            <w:tcW w:type="dxa" w:w="850"/>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序号</w:t>
            </w:r>
          </w:p>
        </w:tc>
        <w:tc>
          <w:tcPr>
            <w:tcW w:type="dxa" w:w="6633"/>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核对事项</w:t>
            </w:r>
          </w:p>
        </w:tc>
        <w:tc>
          <w:tcPr>
            <w:tcW w:type="dxa" w:w="1587"/>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完成情况</w:t>
            </w:r>
          </w:p>
        </w:tc>
      </w:tr>
      <w:tr>
        <w:trPr>
          <w:cantSplit/>
        </w:trPr>
        <w:tc>
          <w:tcPr>
            <w:tcW w:type="dxa" w:w="850"/>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①</w:t>
            </w:r>
          </w:p>
        </w:tc>
        <w:tc>
          <w:tcPr>
            <w:tcW w:type="dxa" w:w="6633"/>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1"/>
              </w:rPr>
              <w:t>重庆市政府采购网供应商账号正常</w:t>
            </w:r>
          </w:p>
        </w:tc>
        <w:tc>
          <w:tcPr>
            <w:tcW w:type="dxa" w:w="1587"/>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 已确认</w:t>
            </w:r>
          </w:p>
        </w:tc>
      </w:tr>
      <w:tr>
        <w:trPr>
          <w:cantSplit/>
        </w:trPr>
        <w:tc>
          <w:tcPr>
            <w:tcW w:type="dxa" w:w="850"/>
            <w:vAlign w:val="center"/>
            <w:tcMar>
              <w:top w:w="50" w:type="dxa"/>
              <w:left w:w="70" w:type="dxa"/>
              <w:bottom w:w="50" w:type="dxa"/>
              <w:right w:w="70" w:type="dxa"/>
            </w:tcMar>
            <w:shd w:val="clear" w:color="auto" w:fill="F7F9FC"/>
          </w:tcPr>
          <w:p>
            <w:pPr>
              <w:spacing w:before="0" w:after="0" w:line="288" w:lineRule="auto"/>
              <w:jc w:val="center"/>
              <w:keepLines/>
              <w:keepNext/>
            </w:pPr>
            <w:r/>
            <w:r>
              <w:rPr>
                <w:rFonts w:ascii="宋体" w:hAnsi="宋体" w:eastAsia="宋体" w:cs="宋体"/>
                <w:b w:val="0"/>
                <w:color w:val="222222"/>
                <w:sz w:val="21"/>
              </w:rPr>
              <w:t>②</w:t>
            </w:r>
          </w:p>
        </w:tc>
        <w:tc>
          <w:tcPr>
            <w:tcW w:type="dxa" w:w="6633"/>
            <w:vAlign w:val="center"/>
            <w:tcMar>
              <w:top w:w="50" w:type="dxa"/>
              <w:left w:w="70" w:type="dxa"/>
              <w:bottom w:w="50" w:type="dxa"/>
              <w:right w:w="70" w:type="dxa"/>
            </w:tcMar>
            <w:shd w:val="clear" w:color="auto" w:fill="F7F9FC"/>
          </w:tcPr>
          <w:p>
            <w:pPr>
              <w:spacing w:before="0" w:after="0" w:line="288" w:lineRule="auto"/>
              <w:jc w:val="left"/>
              <w:keepLines/>
              <w:keepNext/>
            </w:pPr>
            <w:r/>
            <w:r>
              <w:rPr>
                <w:rFonts w:ascii="宋体" w:hAnsi="宋体" w:eastAsia="宋体" w:cs="宋体"/>
                <w:b w:val="0"/>
                <w:color w:val="222222"/>
                <w:sz w:val="21"/>
              </w:rPr>
              <w:t>CA数字证书正常</w:t>
            </w:r>
          </w:p>
        </w:tc>
        <w:tc>
          <w:tcPr>
            <w:tcW w:type="dxa" w:w="1587"/>
            <w:vAlign w:val="center"/>
            <w:tcMar>
              <w:top w:w="50" w:type="dxa"/>
              <w:left w:w="70" w:type="dxa"/>
              <w:bottom w:w="50" w:type="dxa"/>
              <w:right w:w="70" w:type="dxa"/>
            </w:tcMar>
            <w:shd w:val="clear" w:color="auto" w:fill="F7F9FC"/>
          </w:tcPr>
          <w:p>
            <w:pPr>
              <w:spacing w:before="0" w:after="0" w:line="288" w:lineRule="auto"/>
              <w:jc w:val="center"/>
              <w:keepLines/>
              <w:keepNext/>
            </w:pPr>
            <w:r/>
            <w:r>
              <w:rPr>
                <w:rFonts w:ascii="宋体" w:hAnsi="宋体" w:eastAsia="宋体" w:cs="宋体"/>
                <w:b w:val="0"/>
                <w:color w:val="222222"/>
                <w:sz w:val="21"/>
              </w:rPr>
              <w:t>□ 已确认</w:t>
            </w:r>
          </w:p>
        </w:tc>
      </w:tr>
      <w:tr>
        <w:trPr>
          <w:cantSplit/>
        </w:trPr>
        <w:tc>
          <w:tcPr>
            <w:tcW w:type="dxa" w:w="850"/>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③</w:t>
            </w:r>
          </w:p>
        </w:tc>
        <w:tc>
          <w:tcPr>
            <w:tcW w:type="dxa" w:w="6633"/>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1"/>
              </w:rPr>
              <w:t>JLP26C00100已进入“我的项目 / 我的投标项目”</w:t>
            </w:r>
          </w:p>
        </w:tc>
        <w:tc>
          <w:tcPr>
            <w:tcW w:type="dxa" w:w="1587"/>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 已确认</w:t>
            </w:r>
          </w:p>
        </w:tc>
      </w:tr>
      <w:tr>
        <w:trPr>
          <w:cantSplit/>
        </w:trPr>
        <w:tc>
          <w:tcPr>
            <w:tcW w:type="dxa" w:w="850"/>
            <w:vAlign w:val="center"/>
            <w:tcMar>
              <w:top w:w="50" w:type="dxa"/>
              <w:left w:w="70" w:type="dxa"/>
              <w:bottom w:w="50" w:type="dxa"/>
              <w:right w:w="70" w:type="dxa"/>
            </w:tcMar>
            <w:shd w:val="clear" w:color="auto" w:fill="F7F9FC"/>
          </w:tcPr>
          <w:p>
            <w:pPr>
              <w:spacing w:before="0" w:after="0" w:line="288" w:lineRule="auto"/>
              <w:jc w:val="center"/>
              <w:keepLines/>
              <w:keepNext/>
            </w:pPr>
            <w:r/>
            <w:r>
              <w:rPr>
                <w:rFonts w:ascii="宋体" w:hAnsi="宋体" w:eastAsia="宋体" w:cs="宋体"/>
                <w:b w:val="0"/>
                <w:color w:val="222222"/>
                <w:sz w:val="21"/>
              </w:rPr>
              <w:t>④</w:t>
            </w:r>
          </w:p>
        </w:tc>
        <w:tc>
          <w:tcPr>
            <w:tcW w:type="dxa" w:w="6633"/>
            <w:vAlign w:val="center"/>
            <w:tcMar>
              <w:top w:w="50" w:type="dxa"/>
              <w:left w:w="70" w:type="dxa"/>
              <w:bottom w:w="50" w:type="dxa"/>
              <w:right w:w="70" w:type="dxa"/>
            </w:tcMar>
            <w:shd w:val="clear" w:color="auto" w:fill="F7F9FC"/>
          </w:tcPr>
          <w:p>
            <w:pPr>
              <w:spacing w:before="0" w:after="0" w:line="288" w:lineRule="auto"/>
              <w:jc w:val="left"/>
              <w:keepLines/>
              <w:keepNext/>
            </w:pPr>
            <w:r/>
            <w:r>
              <w:rPr>
                <w:rFonts w:ascii="宋体" w:hAnsi="宋体" w:eastAsia="宋体" w:cs="宋体"/>
                <w:b w:val="0"/>
                <w:color w:val="222222"/>
                <w:sz w:val="21"/>
              </w:rPr>
              <w:t>网上报名申请已提交，并显示审核通过或合法获取采购文件</w:t>
            </w:r>
          </w:p>
        </w:tc>
        <w:tc>
          <w:tcPr>
            <w:tcW w:type="dxa" w:w="1587"/>
            <w:vAlign w:val="center"/>
            <w:tcMar>
              <w:top w:w="50" w:type="dxa"/>
              <w:left w:w="70" w:type="dxa"/>
              <w:bottom w:w="50" w:type="dxa"/>
              <w:right w:w="70" w:type="dxa"/>
            </w:tcMar>
            <w:shd w:val="clear" w:color="auto" w:fill="F7F9FC"/>
          </w:tcPr>
          <w:p>
            <w:pPr>
              <w:spacing w:before="0" w:after="0" w:line="288" w:lineRule="auto"/>
              <w:jc w:val="center"/>
              <w:keepLines/>
              <w:keepNext/>
            </w:pPr>
            <w:r/>
            <w:r>
              <w:rPr>
                <w:rFonts w:ascii="宋体" w:hAnsi="宋体" w:eastAsia="宋体" w:cs="宋体"/>
                <w:b w:val="0"/>
                <w:color w:val="222222"/>
                <w:sz w:val="21"/>
              </w:rPr>
              <w:t>□ 已确认</w:t>
            </w:r>
          </w:p>
        </w:tc>
      </w:tr>
      <w:tr>
        <w:trPr>
          <w:cantSplit/>
        </w:trPr>
        <w:tc>
          <w:tcPr>
            <w:tcW w:type="dxa" w:w="850"/>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⑤</w:t>
            </w:r>
          </w:p>
        </w:tc>
        <w:tc>
          <w:tcPr>
            <w:tcW w:type="dxa" w:w="6633"/>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正式磋商文件及全部附件已下载</w:t>
            </w:r>
          </w:p>
        </w:tc>
        <w:tc>
          <w:tcPr>
            <w:tcW w:type="dxa" w:w="1587"/>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 已确认</w:t>
            </w:r>
          </w:p>
        </w:tc>
      </w:tr>
    </w:tbl>
    <w:p>
      <w:pPr>
        <w:spacing w:before="200" w:after="120" w:line="300" w:lineRule="auto"/>
        <w:jc w:val="left"/>
        <w:keepLines/>
        <w:keepNext/>
        <w:pBdr>
          <w:bottom w:val="single" w:sz="12" w:space="3" w:color="1F4E79"/>
        </w:pBdr>
      </w:pPr>
      <w:r>
        <w:rPr>
          <w:rFonts w:ascii="黑体" w:hAnsi="黑体" w:eastAsia="黑体" w:cs="黑体"/>
          <w:b/>
          <w:color w:val="1F4E79"/>
          <w:sz w:val="28"/>
        </w:rPr>
        <w:t>六、联合体报名处理</w:t>
      </w:r>
    </w:p>
    <w:p>
      <w:pPr>
        <w:spacing w:before="0" w:after="80" w:line="317" w:lineRule="auto"/>
        <w:ind w:firstLine="420"/>
        <w:jc w:val="both"/>
        <w:keepLines/>
        <w:keepNext/>
      </w:pPr>
      <w:r>
        <w:rPr>
          <w:rFonts w:ascii="宋体" w:hAnsi="宋体" w:eastAsia="宋体" w:cs="宋体"/>
          <w:b w:val="0"/>
          <w:sz w:val="24"/>
        </w:rPr>
        <w:t>本项目接受联合体。报名阶段如系统要求填写联合体信息，请先对照正式磋商文件确认下列事项，再行填写：</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城乡规划甲级资质由哪一方持有</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联合体牵头方是否须为甲级规划单位</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联合体成员数量有无限制</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双方是否均须注册为重庆政府采购供应商</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联合体成员是否均须完成CA办理</w:t>
      </w:r>
    </w:p>
    <w:p>
      <w:pPr>
        <w:spacing w:before="0" w:after="40" w:line="307" w:lineRule="auto"/>
        <w:ind w:left="227"/>
        <w:jc w:val="both"/>
        <w:keepLines/>
        <w:keepNext/>
      </w:pPr>
      <w:r>
        <w:rPr>
          <w:rFonts w:ascii="黑体" w:hAnsi="黑体" w:eastAsia="黑体" w:cs="黑体"/>
          <w:b w:val="0"/>
          <w:color w:val="1F4E79"/>
          <w:sz w:val="24"/>
        </w:rPr>
        <w:t xml:space="preserve">•  </w:t>
      </w:r>
      <w:r>
        <w:rPr>
          <w:rFonts w:ascii="宋体" w:hAnsi="宋体" w:eastAsia="宋体" w:cs="宋体"/>
          <w:b w:val="0"/>
          <w:color w:val="222222"/>
          <w:sz w:val="24"/>
        </w:rPr>
        <w:t>联合体协议在报名阶段还是响应文件阶段提交</w:t>
      </w:r>
    </w:p>
    <w:p>
      <w:pPr>
        <w:spacing w:before="0" w:after="40" w:line="307" w:lineRule="auto"/>
        <w:ind w:left="227"/>
        <w:jc w:val="both"/>
        <w:keepLines/>
      </w:pPr>
      <w:r>
        <w:rPr>
          <w:rFonts w:ascii="黑体" w:hAnsi="黑体" w:eastAsia="黑体" w:cs="黑体"/>
          <w:b w:val="0"/>
          <w:color w:val="1F4E79"/>
          <w:sz w:val="24"/>
        </w:rPr>
        <w:t xml:space="preserve">•  </w:t>
      </w:r>
      <w:r>
        <w:rPr>
          <w:rFonts w:ascii="宋体" w:hAnsi="宋体" w:eastAsia="宋体" w:cs="宋体"/>
          <w:b w:val="0"/>
          <w:color w:val="222222"/>
          <w:sz w:val="24"/>
        </w:rPr>
        <w:t>联合体各方业绩能否共同计入商务评分</w:t>
      </w:r>
    </w:p>
    <w:p>
      <w:pPr>
        <w:spacing w:before="60" w:after="80" w:line="317" w:lineRule="auto"/>
        <w:ind w:firstLine="420"/>
        <w:jc w:val="both"/>
        <w:keepLines/>
      </w:pPr>
      <w:r>
        <w:rPr>
          <w:rFonts w:ascii="宋体" w:hAnsi="宋体" w:eastAsia="宋体" w:cs="宋体"/>
          <w:b w:val="0"/>
          <w:sz w:val="24"/>
        </w:rPr>
        <w:t>文件或系统规定不明确的，由重庆大学设计总院商务人员电话向采购代理机构确认后再操作。</w:t>
      </w:r>
    </w:p>
    <w:p>
      <w:pPr>
        <w:spacing w:before="160" w:after="60" w:line="300" w:lineRule="auto"/>
        <w:jc w:val="left"/>
        <w:keepLines/>
        <w:keepNext/>
      </w:pPr>
      <w:r>
        <w:rPr>
          <w:rFonts w:ascii="黑体" w:hAnsi="黑体" w:eastAsia="黑体" w:cs="黑体"/>
          <w:b/>
          <w:color w:val="1F4E79"/>
          <w:sz w:val="24"/>
        </w:rPr>
        <w:t>联系方式</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5103"/>
        <w:gridCol w:w="2041"/>
        <w:gridCol w:w="1927"/>
      </w:tblGrid>
      <w:tr>
        <w:trPr>
          <w:tblHeader/>
          <w:cantSplit/>
        </w:trPr>
        <w:tc>
          <w:tcPr>
            <w:tcW w:type="dxa" w:w="5103"/>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单位</w:t>
            </w:r>
          </w:p>
        </w:tc>
        <w:tc>
          <w:tcPr>
            <w:tcW w:type="dxa" w:w="2041"/>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联系人</w:t>
            </w:r>
          </w:p>
        </w:tc>
        <w:tc>
          <w:tcPr>
            <w:tcW w:type="dxa" w:w="1927"/>
            <w:vAlign w:val="center"/>
            <w:tcMar>
              <w:top w:w="50" w:type="dxa"/>
              <w:left w:w="70" w:type="dxa"/>
              <w:bottom w:w="50" w:type="dxa"/>
              <w:right w:w="70" w:type="dxa"/>
            </w:tcMar>
            <w:shd w:val="clear" w:color="auto" w:fill="1F4E79"/>
          </w:tcPr>
          <w:p>
            <w:pPr>
              <w:spacing w:before="0" w:after="0" w:line="288" w:lineRule="auto"/>
              <w:jc w:val="center"/>
              <w:keepLines/>
              <w:keepNext/>
            </w:pPr>
            <w:r/>
            <w:r>
              <w:rPr>
                <w:rFonts w:ascii="黑体" w:hAnsi="黑体" w:eastAsia="黑体" w:cs="黑体"/>
                <w:b/>
                <w:color w:val="FFFFFF"/>
                <w:sz w:val="21"/>
              </w:rPr>
              <w:t>电话</w:t>
            </w:r>
          </w:p>
        </w:tc>
      </w:tr>
      <w:tr>
        <w:trPr>
          <w:cantSplit/>
        </w:trPr>
        <w:tc>
          <w:tcPr>
            <w:tcW w:type="dxa" w:w="5103"/>
            <w:vAlign w:val="center"/>
            <w:tcMar>
              <w:top w:w="50" w:type="dxa"/>
              <w:left w:w="70" w:type="dxa"/>
              <w:bottom w:w="50" w:type="dxa"/>
              <w:right w:w="70" w:type="dxa"/>
            </w:tcMar>
            <w:shd w:val="clear" w:color="auto" w:fill="FFFFFF"/>
          </w:tcPr>
          <w:p>
            <w:pPr>
              <w:spacing w:before="0" w:after="0" w:line="288" w:lineRule="auto"/>
              <w:jc w:val="left"/>
              <w:keepLines/>
              <w:keepNext/>
            </w:pPr>
            <w:r/>
            <w:r>
              <w:rPr>
                <w:rFonts w:ascii="宋体" w:hAnsi="宋体" w:eastAsia="宋体" w:cs="宋体"/>
                <w:b w:val="0"/>
                <w:color w:val="222222"/>
                <w:sz w:val="21"/>
              </w:rPr>
              <w:t>采购代理机构：三信建设咨询集团有限公司</w:t>
            </w:r>
          </w:p>
        </w:tc>
        <w:tc>
          <w:tcPr>
            <w:tcW w:type="dxa" w:w="2041"/>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赵老师 / 赵茜</w:t>
            </w:r>
          </w:p>
        </w:tc>
        <w:tc>
          <w:tcPr>
            <w:tcW w:type="dxa" w:w="1927"/>
            <w:vAlign w:val="center"/>
            <w:tcMar>
              <w:top w:w="50" w:type="dxa"/>
              <w:left w:w="70" w:type="dxa"/>
              <w:bottom w:w="50" w:type="dxa"/>
              <w:right w:w="70" w:type="dxa"/>
            </w:tcMar>
            <w:shd w:val="clear" w:color="auto" w:fill="FFFFFF"/>
          </w:tcPr>
          <w:p>
            <w:pPr>
              <w:spacing w:before="0" w:after="0" w:line="288" w:lineRule="auto"/>
              <w:jc w:val="center"/>
              <w:keepLines/>
              <w:keepNext/>
            </w:pPr>
            <w:r/>
            <w:r>
              <w:rPr>
                <w:rFonts w:ascii="宋体" w:hAnsi="宋体" w:eastAsia="宋体" w:cs="宋体"/>
                <w:b w:val="0"/>
                <w:color w:val="222222"/>
                <w:sz w:val="21"/>
              </w:rPr>
              <w:t>023-63024313</w:t>
            </w:r>
          </w:p>
        </w:tc>
      </w:tr>
      <w:tr>
        <w:trPr>
          <w:cantSplit/>
        </w:trPr>
        <w:tc>
          <w:tcPr>
            <w:tcW w:type="dxa" w:w="5103"/>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采购人：重庆市九龙坡区住房和城乡建设委员会</w:t>
            </w:r>
          </w:p>
        </w:tc>
        <w:tc>
          <w:tcPr>
            <w:tcW w:type="dxa" w:w="2041"/>
            <w:vAlign w:val="center"/>
            <w:tcMar>
              <w:top w:w="50" w:type="dxa"/>
              <w:left w:w="70" w:type="dxa"/>
              <w:bottom w:w="50" w:type="dxa"/>
              <w:right w:w="70" w:type="dxa"/>
            </w:tcMar>
            <w:shd w:val="clear" w:color="auto" w:fill="F7F9FC"/>
          </w:tcPr>
          <w:p>
            <w:pPr>
              <w:spacing w:before="0" w:after="0" w:line="288" w:lineRule="auto"/>
              <w:jc w:val="center"/>
              <w:keepLines/>
            </w:pPr>
            <w:r/>
            <w:r>
              <w:rPr>
                <w:rFonts w:ascii="宋体" w:hAnsi="宋体" w:eastAsia="宋体" w:cs="宋体"/>
                <w:b w:val="0"/>
                <w:color w:val="222222"/>
                <w:sz w:val="21"/>
              </w:rPr>
              <w:t>吕老师</w:t>
            </w:r>
          </w:p>
        </w:tc>
        <w:tc>
          <w:tcPr>
            <w:tcW w:type="dxa" w:w="1927"/>
            <w:vAlign w:val="center"/>
            <w:tcMar>
              <w:top w:w="50" w:type="dxa"/>
              <w:left w:w="70" w:type="dxa"/>
              <w:bottom w:w="50" w:type="dxa"/>
              <w:right w:w="70" w:type="dxa"/>
            </w:tcMar>
            <w:shd w:val="clear" w:color="auto" w:fill="F7F9FC"/>
          </w:tcPr>
          <w:p>
            <w:pPr>
              <w:spacing w:before="0" w:after="0" w:line="288" w:lineRule="auto"/>
              <w:jc w:val="center"/>
              <w:keepLines/>
            </w:pPr>
            <w:r/>
            <w:r>
              <w:rPr>
                <w:rFonts w:ascii="宋体" w:hAnsi="宋体" w:eastAsia="宋体" w:cs="宋体"/>
                <w:b w:val="0"/>
                <w:color w:val="222222"/>
                <w:sz w:val="21"/>
              </w:rPr>
              <w:t>023-68036909</w:t>
            </w:r>
          </w:p>
        </w:tc>
      </w:tr>
    </w:tbl>
    <w:p>
      <w:pPr>
        <w:spacing w:before="120" w:after="80" w:line="317" w:lineRule="auto"/>
        <w:ind w:firstLine="420"/>
        <w:jc w:val="both"/>
        <w:keepLines/>
        <w:keepNext/>
      </w:pPr>
      <w:r>
        <w:rPr>
          <w:rFonts w:ascii="宋体" w:hAnsi="宋体" w:eastAsia="宋体" w:cs="宋体"/>
          <w:b w:val="0"/>
          <w:sz w:val="24"/>
        </w:rPr>
        <w:t>向代理机构确认时，可采用下列口径：</w:t>
      </w:r>
    </w:p>
    <w:tbl>
      <w:tblPr>
        <w:tblW w:type="dxa" w:w="9072"/>
        <w:jc w:val="center"/>
        <w:tblLayout w:type="fixed"/>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9072"/>
      </w:tblGrid>
      <w:tr>
        <w:trPr>
          <w:cantSplit/>
        </w:trPr>
        <w:tc>
          <w:tcPr>
            <w:tcW w:type="dxa" w:w="9072"/>
            <w:shd w:val="clear" w:color="auto" w:fill="FFF8E7"/>
            <w:tcMar>
              <w:top w:w="70" w:type="dxa"/>
              <w:left w:w="110" w:type="dxa"/>
              <w:bottom w:w="70" w:type="dxa"/>
              <w:right w:w="110" w:type="dxa"/>
            </w:tcMar>
          </w:tcPr>
          <w:p>
            <w:pPr>
              <w:spacing w:before="0" w:after="0" w:line="312" w:lineRule="auto"/>
              <w:jc w:val="both"/>
              <w:keepLines/>
            </w:pPr>
            <w:r/>
            <w:r>
              <w:rPr>
                <w:rFonts w:ascii="楷体" w:hAnsi="楷体" w:eastAsia="楷体" w:cs="楷体"/>
                <w:b w:val="0"/>
                <w:color w:val="222222"/>
                <w:sz w:val="22"/>
              </w:rPr>
              <w:t>本项目拟由具有城乡规划甲级资质的重庆大学建筑规划设计研究总院作为牵头方，与复旦大学相关研究主体组成联合体。请确认电子标书获取阶段，是仅由联合体牵头方报名获取，还是联合体各方均需完成供应商注册及报名？另请确认：复旦大学住房政策研究中心能否作为独立联合体成员，或须以复旦大学作为联合体成员、研究中心作为实施团队？</w:t>
            </w:r>
          </w:p>
        </w:tc>
      </w:tr>
    </w:tbl>
    <w:p>
      <w:pPr>
        <w:spacing w:before="80" w:after="80" w:line="317" w:lineRule="auto"/>
        <w:ind w:firstLine="420"/>
        <w:jc w:val="both"/>
        <w:keepLines/>
      </w:pPr>
      <w:r>
        <w:rPr>
          <w:rFonts w:ascii="宋体" w:hAnsi="宋体" w:eastAsia="宋体" w:cs="宋体"/>
          <w:b w:val="0"/>
          <w:sz w:val="24"/>
        </w:rPr>
        <w:t>以采购代理机构正式答复为准。</w:t>
      </w:r>
    </w:p>
    <w:p>
      <w:pPr>
        <w:spacing w:before="200" w:after="120" w:line="300" w:lineRule="auto"/>
        <w:jc w:val="left"/>
        <w:keepLines/>
        <w:keepNext/>
        <w:pBdr>
          <w:bottom w:val="single" w:sz="12" w:space="3" w:color="1F4E79"/>
        </w:pBdr>
      </w:pPr>
      <w:r>
        <w:rPr>
          <w:rFonts w:ascii="黑体" w:hAnsi="黑体" w:eastAsia="黑体" w:cs="黑体"/>
          <w:b/>
          <w:color w:val="1F4E79"/>
          <w:sz w:val="28"/>
        </w:rPr>
        <w:t>七、今日须完成的四项工作</w:t>
      </w:r>
    </w:p>
    <w:p>
      <w:pPr>
        <w:spacing w:before="0" w:after="80" w:line="317" w:lineRule="auto"/>
        <w:ind w:firstLine="420"/>
        <w:jc w:val="both"/>
        <w:keepLines/>
      </w:pPr>
      <w:r>
        <w:rPr>
          <w:rFonts w:ascii="宋体" w:hAnsi="宋体" w:eastAsia="宋体" w:cs="宋体"/>
          <w:b w:val="0"/>
          <w:sz w:val="24"/>
        </w:rPr>
        <w:t>现阶段先把投标资格和评分规则核清，再展开技术方案撰写。</w:t>
      </w:r>
    </w:p>
    <w:p>
      <w:pPr>
        <w:spacing w:before="160" w:after="60" w:line="300" w:lineRule="auto"/>
        <w:jc w:val="left"/>
        <w:keepLines/>
        <w:keepNext/>
      </w:pPr>
      <w:r>
        <w:rPr>
          <w:rFonts w:ascii="黑体" w:hAnsi="黑体" w:eastAsia="黑体" w:cs="黑体"/>
          <w:b/>
          <w:color w:val="1F4E79"/>
          <w:sz w:val="24"/>
        </w:rPr>
        <w:t>（一）重庆大学设计总院完成正式报名</w:t>
      </w:r>
    </w:p>
    <w:p>
      <w:pPr>
        <w:spacing w:before="0" w:after="80" w:line="317" w:lineRule="auto"/>
        <w:ind w:firstLine="420"/>
        <w:jc w:val="both"/>
        <w:keepLines/>
      </w:pPr>
      <w:r>
        <w:rPr>
          <w:rFonts w:ascii="宋体" w:hAnsi="宋体" w:eastAsia="宋体" w:cs="宋体"/>
          <w:b w:val="0"/>
          <w:sz w:val="24"/>
        </w:rPr>
        <w:t>采购公告要求：只有在重庆市政府采购网完成网上报名并审核通过，才视为合法获取采购文件；公告网页附件仅供阅览。获取文件截止为9月18日18:00。请当日确认：重庆政府采购网账号 → CA → 报名 → 下载正式磋商文件 → 下载最新澄清文件。此项优先办理。</w:t>
      </w:r>
    </w:p>
    <w:p>
      <w:pPr>
        <w:spacing w:before="160" w:after="60" w:line="300" w:lineRule="auto"/>
        <w:jc w:val="left"/>
        <w:keepLines/>
        <w:keepNext/>
      </w:pPr>
      <w:r>
        <w:rPr>
          <w:rFonts w:ascii="黑体" w:hAnsi="黑体" w:eastAsia="黑体" w:cs="黑体"/>
          <w:b/>
          <w:color w:val="1F4E79"/>
          <w:sz w:val="24"/>
        </w:rPr>
        <w:t>（二）双方拆解正式磋商文件</w:t>
      </w:r>
    </w:p>
    <w:p>
      <w:pPr>
        <w:spacing w:before="0" w:after="80" w:line="317" w:lineRule="auto"/>
        <w:ind w:firstLine="420"/>
        <w:jc w:val="both"/>
        <w:keepLines/>
      </w:pPr>
      <w:r>
        <w:rPr>
          <w:rFonts w:ascii="宋体" w:hAnsi="宋体" w:eastAsia="宋体" w:cs="宋体"/>
          <w:b w:val="0"/>
          <w:sz w:val="24"/>
        </w:rPr>
        <w:t>拿到完整磋商文件后，先拆五张表：资格表、评分表、业绩表、人员评分表、技术评分表。重点核对：联合体双方业绩是否均可计分。若规定联合体任一成员业绩均可计分，则复旦大学相关城市更新、住房政策、规划研究业绩可计入商务评分；若只计算牵头方业绩，则商务分须主要依靠重庆大学设计总院，联合体结构亦须相应调整。</w:t>
      </w:r>
    </w:p>
    <w:p>
      <w:pPr>
        <w:spacing w:before="160" w:after="60" w:line="300" w:lineRule="auto"/>
        <w:jc w:val="left"/>
        <w:keepLines/>
        <w:keepNext/>
      </w:pPr>
      <w:r>
        <w:rPr>
          <w:rFonts w:ascii="黑体" w:hAnsi="黑体" w:eastAsia="黑体" w:cs="黑体"/>
          <w:b/>
          <w:color w:val="1F4E79"/>
          <w:sz w:val="24"/>
        </w:rPr>
        <w:t>（三）交换投标资产包</w:t>
      </w:r>
    </w:p>
    <w:p>
      <w:pPr>
        <w:spacing w:before="0" w:after="80" w:line="317" w:lineRule="auto"/>
        <w:ind w:firstLine="420"/>
        <w:jc w:val="both"/>
        <w:keepLines/>
        <w:keepNext/>
      </w:pPr>
      <w:r>
        <w:rPr>
          <w:rFonts w:ascii="宋体" w:hAnsi="宋体" w:eastAsia="宋体" w:cs="宋体"/>
          <w:b w:val="0"/>
          <w:sz w:val="24"/>
        </w:rPr>
        <w:t>材料以评分能用上的为限，形成可直接调用的投标素材，不必堆砌长篇介绍。</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041"/>
        <w:gridCol w:w="7030"/>
      </w:tblGrid>
      <w:tr>
        <w:trPr>
          <w:tblHeader/>
          <w:cantSplit/>
        </w:trPr>
        <w:tc>
          <w:tcPr>
            <w:tcW w:type="dxa" w:w="2041"/>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提供方</w:t>
            </w:r>
          </w:p>
        </w:tc>
        <w:tc>
          <w:tcPr>
            <w:tcW w:type="dxa" w:w="7030"/>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材料内容</w:t>
            </w:r>
          </w:p>
        </w:tc>
      </w:tr>
      <w:tr>
        <w:trPr>
          <w:cantSplit/>
        </w:trPr>
        <w:tc>
          <w:tcPr>
            <w:tcW w:type="dxa" w:w="2041"/>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重庆大学设计总院</w:t>
            </w:r>
          </w:p>
        </w:tc>
        <w:tc>
          <w:tcPr>
            <w:tcW w:type="dxa" w:w="703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营业执照、甲级资质、类似业绩、项目负责人简历、规划师团队、重庆/九龙坡业绩、获奖和荣誉。</w:t>
            </w:r>
          </w:p>
        </w:tc>
      </w:tr>
      <w:tr>
        <w:trPr>
          <w:cantSplit/>
        </w:trPr>
        <w:tc>
          <w:tcPr>
            <w:tcW w:type="dxa" w:w="2041"/>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复旦一侧</w:t>
            </w:r>
          </w:p>
        </w:tc>
        <w:tc>
          <w:tcPr>
            <w:tcW w:type="dxa" w:w="703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复旦大学主体材料、住房政策研究中心介绍、专家团队、城市更新/住房/政策研究业绩、白皮书与研究报告、政府研究课题、相关案例及专家职称学历材料。建议汇总为《复旦可用于九龙坡项目的投标素材包》。</w:t>
            </w:r>
          </w:p>
        </w:tc>
      </w:tr>
    </w:tbl>
    <w:p>
      <w:pPr>
        <w:spacing w:before="160" w:after="60" w:line="300" w:lineRule="auto"/>
        <w:jc w:val="left"/>
        <w:keepLines/>
        <w:keepNext/>
      </w:pPr>
      <w:r>
        <w:rPr>
          <w:rFonts w:ascii="黑体" w:hAnsi="黑体" w:eastAsia="黑体" w:cs="黑体"/>
          <w:b/>
          <w:color w:val="1F4E79"/>
          <w:sz w:val="24"/>
        </w:rPr>
        <w:t>（四）预先明确联合体利益分配</w:t>
      </w:r>
    </w:p>
    <w:p>
      <w:pPr>
        <w:spacing w:before="0" w:after="80" w:line="317" w:lineRule="auto"/>
        <w:ind w:firstLine="420"/>
        <w:jc w:val="both"/>
        <w:keepLines/>
      </w:pPr>
      <w:r>
        <w:rPr>
          <w:rFonts w:ascii="宋体" w:hAnsi="宋体" w:eastAsia="宋体" w:cs="宋体"/>
          <w:b w:val="0"/>
          <w:sz w:val="24"/>
        </w:rPr>
        <w:t>中标前先书面确认下列事项：合同签署主体、收款主体、复旦承担的成果范围、工作量比例、费用比例、知识产权、成果署名、专家差旅、税费、修改次数、政府汇报出席安排。本项目预算132万元，双方宜按实际工作量确定费用比例，避免按各自完整成本核算后合作效率偏低。</w:t>
      </w:r>
    </w:p>
    <w:p>
      <w:pPr>
        <w:spacing w:before="200" w:after="120" w:line="300" w:lineRule="auto"/>
        <w:jc w:val="left"/>
        <w:keepLines/>
        <w:keepNext/>
        <w:pBdr>
          <w:bottom w:val="single" w:sz="12" w:space="3" w:color="1F4E79"/>
        </w:pBdr>
      </w:pPr>
      <w:r>
        <w:rPr>
          <w:rFonts w:ascii="黑体" w:hAnsi="黑体" w:eastAsia="黑体" w:cs="黑体"/>
          <w:b/>
          <w:color w:val="1F4E79"/>
          <w:sz w:val="28"/>
        </w:rPr>
        <w:t>八、技术方案框架（6+1）</w:t>
      </w:r>
    </w:p>
    <w:p>
      <w:pPr>
        <w:spacing w:before="0" w:after="80" w:line="317" w:lineRule="auto"/>
        <w:ind w:firstLine="420"/>
        <w:jc w:val="both"/>
        <w:keepLines/>
        <w:keepNext/>
      </w:pPr>
      <w:r>
        <w:rPr>
          <w:rFonts w:ascii="宋体" w:hAnsi="宋体" w:eastAsia="宋体" w:cs="宋体"/>
          <w:b w:val="0"/>
          <w:sz w:val="24"/>
        </w:rPr>
        <w:t>技术标不宜写成传统规划编制流程，而应体现“重庆大学规划能力 + 复旦政策智库能力”的组合特征。建议采用下列6+1结构：</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268"/>
        <w:gridCol w:w="4989"/>
        <w:gridCol w:w="1814"/>
      </w:tblGrid>
      <w:tr>
        <w:trPr>
          <w:tblHeader/>
          <w:cantSplit/>
        </w:trPr>
        <w:tc>
          <w:tcPr>
            <w:tcW w:type="dxa" w:w="2268"/>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21"/>
              </w:rPr>
              <w:t>模块</w:t>
            </w:r>
          </w:p>
        </w:tc>
        <w:tc>
          <w:tcPr>
            <w:tcW w:type="dxa" w:w="4989"/>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21"/>
              </w:rPr>
              <w:t>核心内容</w:t>
            </w:r>
          </w:p>
        </w:tc>
        <w:tc>
          <w:tcPr>
            <w:tcW w:type="dxa" w:w="1814"/>
            <w:vAlign w:val="center"/>
            <w:tcMar>
              <w:top w:w="36" w:type="dxa"/>
              <w:left w:w="50" w:type="dxa"/>
              <w:bottom w:w="36" w:type="dxa"/>
              <w:right w:w="50" w:type="dxa"/>
            </w:tcMar>
            <w:shd w:val="clear" w:color="auto" w:fill="1F4E79"/>
          </w:tcPr>
          <w:p>
            <w:pPr>
              <w:spacing w:before="0" w:after="0" w:line="288" w:lineRule="auto"/>
              <w:jc w:val="center"/>
              <w:keepLines/>
            </w:pPr>
            <w:r/>
            <w:r>
              <w:rPr>
                <w:rFonts w:ascii="黑体" w:hAnsi="黑体" w:eastAsia="黑体" w:cs="黑体"/>
                <w:b/>
                <w:color w:val="FFFFFF"/>
                <w:sz w:val="21"/>
              </w:rPr>
              <w:t>主责</w:t>
            </w:r>
          </w:p>
        </w:tc>
      </w:tr>
      <w:tr>
        <w:trPr>
          <w:cantSplit/>
        </w:trPr>
        <w:tc>
          <w:tcPr>
            <w:tcW w:type="dxa" w:w="2268"/>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01 战略研判</w:t>
            </w:r>
          </w:p>
        </w:tc>
        <w:tc>
          <w:tcPr>
            <w:tcW w:type="dxa" w:w="4989"/>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“十四五”复盘、“十五五”趋势、国家及重庆城市更新政策</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21"/>
              </w:rPr>
              <w:t>复旦</w:t>
            </w:r>
          </w:p>
        </w:tc>
      </w:tr>
      <w:tr>
        <w:trPr>
          <w:cantSplit/>
        </w:trPr>
        <w:tc>
          <w:tcPr>
            <w:tcW w:type="dxa" w:w="2268"/>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02 城市更新体检</w:t>
            </w:r>
          </w:p>
        </w:tc>
        <w:tc>
          <w:tcPr>
            <w:tcW w:type="dxa" w:w="4989"/>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人口、产业、住房、公共空间、存量资产、设施等</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21"/>
              </w:rPr>
              <w:t>重大+复旦</w:t>
            </w:r>
          </w:p>
        </w:tc>
      </w:tr>
      <w:tr>
        <w:trPr>
          <w:cantSplit/>
        </w:trPr>
        <w:tc>
          <w:tcPr>
            <w:tcW w:type="dxa" w:w="2268"/>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03 更新空间体系</w:t>
            </w:r>
          </w:p>
        </w:tc>
        <w:tc>
          <w:tcPr>
            <w:tcW w:type="dxa" w:w="4989"/>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重点片区、更新单元、空间结构、分类策略</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21"/>
              </w:rPr>
              <w:t>重大</w:t>
            </w:r>
          </w:p>
        </w:tc>
      </w:tr>
      <w:tr>
        <w:trPr>
          <w:cantSplit/>
        </w:trPr>
        <w:tc>
          <w:tcPr>
            <w:tcW w:type="dxa" w:w="2268"/>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04 “十五五”重点任务</w:t>
            </w:r>
          </w:p>
        </w:tc>
        <w:tc>
          <w:tcPr>
            <w:tcW w:type="dxa" w:w="4989"/>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居住、产业、商业、公共服务、历史文化等</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21"/>
              </w:rPr>
              <w:t>双方</w:t>
            </w:r>
          </w:p>
        </w:tc>
      </w:tr>
      <w:tr>
        <w:trPr>
          <w:cantSplit/>
        </w:trPr>
        <w:tc>
          <w:tcPr>
            <w:tcW w:type="dxa" w:w="2268"/>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05 项目库与行动计划</w:t>
            </w:r>
          </w:p>
        </w:tc>
        <w:tc>
          <w:tcPr>
            <w:tcW w:type="dxa" w:w="4989"/>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重点项目清单、年度时序、实施主体</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21"/>
              </w:rPr>
              <w:t>重大</w:t>
            </w:r>
          </w:p>
        </w:tc>
      </w:tr>
      <w:tr>
        <w:trPr>
          <w:cantSplit/>
        </w:trPr>
        <w:tc>
          <w:tcPr>
            <w:tcW w:type="dxa" w:w="2268"/>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06 政策与实施机制</w:t>
            </w:r>
          </w:p>
        </w:tc>
        <w:tc>
          <w:tcPr>
            <w:tcW w:type="dxa" w:w="4989"/>
            <w:vAlign w:val="center"/>
            <w:tcMar>
              <w:top w:w="36" w:type="dxa"/>
              <w:left w:w="50" w:type="dxa"/>
              <w:bottom w:w="36" w:type="dxa"/>
              <w:right w:w="50" w:type="dxa"/>
            </w:tcMar>
            <w:shd w:val="clear" w:color="auto" w:fill="F7F9FC"/>
          </w:tcPr>
          <w:p>
            <w:pPr>
              <w:spacing w:before="0" w:after="0" w:line="288" w:lineRule="auto"/>
              <w:jc w:val="left"/>
              <w:keepLines/>
            </w:pPr>
            <w:r/>
            <w:r>
              <w:rPr>
                <w:rFonts w:ascii="宋体" w:hAnsi="宋体" w:eastAsia="宋体" w:cs="宋体"/>
                <w:b w:val="0"/>
                <w:color w:val="222222"/>
                <w:sz w:val="21"/>
              </w:rPr>
              <w:t>土地、住房、资金、运营、审批、社会参与机制</w:t>
            </w:r>
          </w:p>
        </w:tc>
        <w:tc>
          <w:tcPr>
            <w:tcW w:type="dxa" w:w="1814"/>
            <w:vAlign w:val="center"/>
            <w:tcMar>
              <w:top w:w="36" w:type="dxa"/>
              <w:left w:w="50" w:type="dxa"/>
              <w:bottom w:w="36" w:type="dxa"/>
              <w:right w:w="50" w:type="dxa"/>
            </w:tcMar>
            <w:shd w:val="clear" w:color="auto" w:fill="F7F9FC"/>
          </w:tcPr>
          <w:p>
            <w:pPr>
              <w:spacing w:before="0" w:after="0" w:line="288" w:lineRule="auto"/>
              <w:jc w:val="center"/>
              <w:keepLines/>
            </w:pPr>
            <w:r/>
            <w:r>
              <w:rPr>
                <w:rFonts w:ascii="宋体" w:hAnsi="宋体" w:eastAsia="宋体" w:cs="宋体"/>
                <w:b w:val="0"/>
                <w:color w:val="222222"/>
                <w:sz w:val="21"/>
              </w:rPr>
              <w:t>复旦</w:t>
            </w:r>
          </w:p>
        </w:tc>
      </w:tr>
      <w:tr>
        <w:trPr>
          <w:cantSplit/>
        </w:trPr>
        <w:tc>
          <w:tcPr>
            <w:tcW w:type="dxa" w:w="2268"/>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+1 动态实施体系</w:t>
            </w:r>
          </w:p>
        </w:tc>
        <w:tc>
          <w:tcPr>
            <w:tcW w:type="dxa" w:w="4989"/>
            <w:vAlign w:val="center"/>
            <w:tcMar>
              <w:top w:w="36" w:type="dxa"/>
              <w:left w:w="50" w:type="dxa"/>
              <w:bottom w:w="36" w:type="dxa"/>
              <w:right w:w="50" w:type="dxa"/>
            </w:tcMar>
            <w:shd w:val="clear" w:color="auto" w:fill="FFFFFF"/>
          </w:tcPr>
          <w:p>
            <w:pPr>
              <w:spacing w:before="0" w:after="0" w:line="288" w:lineRule="auto"/>
              <w:jc w:val="left"/>
              <w:keepLines/>
            </w:pPr>
            <w:r/>
            <w:r>
              <w:rPr>
                <w:rFonts w:ascii="宋体" w:hAnsi="宋体" w:eastAsia="宋体" w:cs="宋体"/>
                <w:b w:val="0"/>
                <w:color w:val="222222"/>
                <w:sz w:val="21"/>
              </w:rPr>
              <w:t>指标体系、年度评估、项目库更新、常年咨询机制</w:t>
            </w:r>
          </w:p>
        </w:tc>
        <w:tc>
          <w:tcPr>
            <w:tcW w:type="dxa" w:w="1814"/>
            <w:vAlign w:val="center"/>
            <w:tcMar>
              <w:top w:w="36" w:type="dxa"/>
              <w:left w:w="50" w:type="dxa"/>
              <w:bottom w:w="36" w:type="dxa"/>
              <w:right w:w="50" w:type="dxa"/>
            </w:tcMar>
            <w:shd w:val="clear" w:color="auto" w:fill="FFFFFF"/>
          </w:tcPr>
          <w:p>
            <w:pPr>
              <w:spacing w:before="0" w:after="0" w:line="288" w:lineRule="auto"/>
              <w:jc w:val="center"/>
              <w:keepLines/>
            </w:pPr>
            <w:r/>
            <w:r>
              <w:rPr>
                <w:rFonts w:ascii="宋体" w:hAnsi="宋体" w:eastAsia="宋体" w:cs="宋体"/>
                <w:b w:val="0"/>
                <w:color w:val="222222"/>
                <w:sz w:val="21"/>
              </w:rPr>
              <w:t>复旦+重大</w:t>
            </w:r>
          </w:p>
        </w:tc>
      </w:tr>
    </w:tbl>
    <w:p>
      <w:pPr>
        <w:spacing w:before="120" w:after="80" w:line="317" w:lineRule="auto"/>
        <w:ind w:firstLine="420"/>
        <w:jc w:val="both"/>
        <w:keepLines/>
      </w:pPr>
      <w:r>
        <w:rPr>
          <w:rFonts w:ascii="宋体" w:hAnsi="宋体" w:eastAsia="宋体" w:cs="宋体"/>
          <w:b w:val="0"/>
          <w:sz w:val="24"/>
        </w:rPr>
        <w:t>其中“+1 动态实施体系”用于把成果从一本“十五五实施方案”延伸为：规划 → 项目库 → 年度行动计划 → 年度评估 → 动态维护。该机制亦可作为后续持续服务的工作接口。</w:t>
      </w:r>
    </w:p>
    <w:p>
      <w:pPr>
        <w:spacing w:before="200" w:after="120" w:line="300" w:lineRule="auto"/>
        <w:jc w:val="left"/>
        <w:keepLines/>
        <w:keepNext/>
        <w:pBdr>
          <w:bottom w:val="single" w:sz="12" w:space="3" w:color="1F4E79"/>
        </w:pBdr>
      </w:pPr>
      <w:r>
        <w:rPr>
          <w:rFonts w:ascii="黑体" w:hAnsi="黑体" w:eastAsia="黑体" w:cs="黑体"/>
          <w:b/>
          <w:color w:val="1F4E79"/>
          <w:sz w:val="28"/>
        </w:rPr>
        <w:t>九、复旦主责章节</w:t>
      </w:r>
    </w:p>
    <w:p>
      <w:pPr>
        <w:spacing w:before="0" w:after="80" w:line="317" w:lineRule="auto"/>
        <w:ind w:firstLine="420"/>
        <w:jc w:val="both"/>
        <w:keepLines/>
        <w:keepNext/>
      </w:pPr>
      <w:r>
        <w:rPr>
          <w:rFonts w:ascii="宋体" w:hAnsi="宋体" w:eastAsia="宋体" w:cs="宋体"/>
          <w:b w:val="0"/>
          <w:sz w:val="24"/>
        </w:rPr>
        <w:t>复旦一侧不承担过多绘图。下列五章由复旦做实后，即便空间规划由重庆大学设计总院完成，成果仍能体现住房政策研究中心的专业贡献：</w:t>
      </w:r>
    </w:p>
    <w:p>
      <w:pPr>
        <w:spacing w:before="0" w:after="40" w:line="307" w:lineRule="auto"/>
        <w:ind w:left="227"/>
        <w:jc w:val="both"/>
        <w:keepLines/>
        <w:keepNext/>
      </w:pPr>
      <w:r>
        <w:rPr>
          <w:rFonts w:ascii="黑体" w:hAnsi="黑体" w:eastAsia="黑体" w:cs="黑体"/>
          <w:b/>
          <w:color w:val="1F4E79"/>
          <w:sz w:val="24"/>
        </w:rPr>
        <w:t xml:space="preserve">1.  </w:t>
      </w:r>
      <w:r>
        <w:rPr>
          <w:rFonts w:ascii="宋体" w:hAnsi="宋体" w:eastAsia="宋体" w:cs="宋体"/>
          <w:b w:val="0"/>
          <w:color w:val="222222"/>
          <w:sz w:val="24"/>
        </w:rPr>
        <w:t>城市更新政策与发展趋势研判</w:t>
      </w:r>
    </w:p>
    <w:p>
      <w:pPr>
        <w:spacing w:before="0" w:after="40" w:line="307" w:lineRule="auto"/>
        <w:ind w:left="227"/>
        <w:jc w:val="both"/>
        <w:keepLines/>
        <w:keepNext/>
      </w:pPr>
      <w:r>
        <w:rPr>
          <w:rFonts w:ascii="黑体" w:hAnsi="黑体" w:eastAsia="黑体" w:cs="黑体"/>
          <w:b/>
          <w:color w:val="1F4E79"/>
          <w:sz w:val="24"/>
        </w:rPr>
        <w:t xml:space="preserve">2.  </w:t>
      </w:r>
      <w:r>
        <w:rPr>
          <w:rFonts w:ascii="宋体" w:hAnsi="宋体" w:eastAsia="宋体" w:cs="宋体"/>
          <w:b w:val="0"/>
          <w:color w:val="222222"/>
          <w:sz w:val="24"/>
        </w:rPr>
        <w:t>九龙坡住房与人口发展专题</w:t>
      </w:r>
    </w:p>
    <w:p>
      <w:pPr>
        <w:spacing w:before="0" w:after="40" w:line="307" w:lineRule="auto"/>
        <w:ind w:left="227"/>
        <w:jc w:val="both"/>
        <w:keepLines/>
        <w:keepNext/>
      </w:pPr>
      <w:r>
        <w:rPr>
          <w:rFonts w:ascii="黑体" w:hAnsi="黑体" w:eastAsia="黑体" w:cs="黑体"/>
          <w:b/>
          <w:color w:val="1F4E79"/>
          <w:sz w:val="24"/>
        </w:rPr>
        <w:t xml:space="preserve">3.  </w:t>
      </w:r>
      <w:r>
        <w:rPr>
          <w:rFonts w:ascii="宋体" w:hAnsi="宋体" w:eastAsia="宋体" w:cs="宋体"/>
          <w:b w:val="0"/>
          <w:color w:val="222222"/>
          <w:sz w:val="24"/>
        </w:rPr>
        <w:t>城市更新实施机制与政策工具</w:t>
      </w:r>
    </w:p>
    <w:p>
      <w:pPr>
        <w:spacing w:before="0" w:after="40" w:line="307" w:lineRule="auto"/>
        <w:ind w:left="227"/>
        <w:jc w:val="both"/>
        <w:keepLines/>
        <w:keepNext/>
      </w:pPr>
      <w:r>
        <w:rPr>
          <w:rFonts w:ascii="黑体" w:hAnsi="黑体" w:eastAsia="黑体" w:cs="黑体"/>
          <w:b/>
          <w:color w:val="1F4E79"/>
          <w:sz w:val="24"/>
        </w:rPr>
        <w:t xml:space="preserve">4.  </w:t>
      </w:r>
      <w:r>
        <w:rPr>
          <w:rFonts w:ascii="宋体" w:hAnsi="宋体" w:eastAsia="宋体" w:cs="宋体"/>
          <w:b w:val="0"/>
          <w:color w:val="222222"/>
          <w:sz w:val="24"/>
        </w:rPr>
        <w:t>国内典型城市更新案例及重庆启示</w:t>
      </w:r>
    </w:p>
    <w:p>
      <w:pPr>
        <w:spacing w:before="0" w:after="40" w:line="307" w:lineRule="auto"/>
        <w:ind w:left="227"/>
        <w:jc w:val="both"/>
        <w:keepLines/>
      </w:pPr>
      <w:r>
        <w:rPr>
          <w:rFonts w:ascii="黑体" w:hAnsi="黑体" w:eastAsia="黑体" w:cs="黑体"/>
          <w:b/>
          <w:color w:val="1F4E79"/>
          <w:sz w:val="24"/>
        </w:rPr>
        <w:t xml:space="preserve">5.  </w:t>
      </w:r>
      <w:r>
        <w:rPr>
          <w:rFonts w:ascii="宋体" w:hAnsi="宋体" w:eastAsia="宋体" w:cs="宋体"/>
          <w:b w:val="0"/>
          <w:color w:val="222222"/>
          <w:sz w:val="24"/>
        </w:rPr>
        <w:t>“十五五”实施评估与动态监测机制</w:t>
      </w:r>
    </w:p>
    <w:p>
      <w:pPr>
        <w:spacing w:before="200" w:after="120" w:line="300" w:lineRule="auto"/>
        <w:jc w:val="left"/>
        <w:keepLines/>
        <w:keepNext/>
        <w:pBdr>
          <w:bottom w:val="single" w:sz="12" w:space="3" w:color="1F4E79"/>
        </w:pBdr>
      </w:pPr>
      <w:r>
        <w:rPr>
          <w:rFonts w:ascii="黑体" w:hAnsi="黑体" w:eastAsia="黑体" w:cs="黑体"/>
          <w:b/>
          <w:color w:val="1F4E79"/>
          <w:sz w:val="28"/>
        </w:rPr>
        <w:t>十、项目组织架构</w:t>
      </w:r>
    </w:p>
    <w:p>
      <w:pPr>
        <w:spacing w:before="0" w:after="80" w:line="317" w:lineRule="auto"/>
        <w:ind w:firstLine="420"/>
        <w:jc w:val="both"/>
        <w:keepLines/>
        <w:keepNext/>
      </w:pPr>
      <w:r>
        <w:rPr>
          <w:rFonts w:ascii="宋体" w:hAnsi="宋体" w:eastAsia="宋体" w:cs="宋体"/>
          <w:b w:val="0"/>
          <w:sz w:val="24"/>
        </w:rPr>
        <w:t>对外不以“两家单位拼标”表述，而以联合项目组呈现：规划技术 + 政策研究 + 高校智库。</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3175"/>
        <w:gridCol w:w="5896"/>
      </w:tblGrid>
      <w:tr>
        <w:trPr>
          <w:tblHeader/>
          <w:cantSplit/>
        </w:trPr>
        <w:tc>
          <w:tcPr>
            <w:tcW w:type="dxa" w:w="3175"/>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角色</w:t>
            </w:r>
          </w:p>
        </w:tc>
        <w:tc>
          <w:tcPr>
            <w:tcW w:type="dxa" w:w="5896"/>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人选方向</w:t>
            </w:r>
          </w:p>
        </w:tc>
      </w:tr>
      <w:tr>
        <w:trPr>
          <w:cantSplit/>
        </w:trPr>
        <w:tc>
          <w:tcPr>
            <w:tcW w:type="dxa" w:w="3175"/>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项目总负责人</w:t>
            </w:r>
          </w:p>
        </w:tc>
        <w:tc>
          <w:tcPr>
            <w:tcW w:type="dxa" w:w="5896"/>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重庆大学设计总院高级规划专家</w:t>
            </w:r>
          </w:p>
        </w:tc>
      </w:tr>
      <w:tr>
        <w:trPr>
          <w:cantSplit/>
        </w:trPr>
        <w:tc>
          <w:tcPr>
            <w:tcW w:type="dxa" w:w="3175"/>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首席政策专家 / 智库负责人</w:t>
            </w:r>
          </w:p>
        </w:tc>
        <w:tc>
          <w:tcPr>
            <w:tcW w:type="dxa" w:w="5896"/>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复旦大学住房政策研究中心专家</w:t>
            </w:r>
          </w:p>
        </w:tc>
      </w:tr>
      <w:tr>
        <w:trPr>
          <w:cantSplit/>
        </w:trPr>
        <w:tc>
          <w:tcPr>
            <w:tcW w:type="dxa" w:w="3175"/>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城市更新规划组</w:t>
            </w:r>
          </w:p>
        </w:tc>
        <w:tc>
          <w:tcPr>
            <w:tcW w:type="dxa" w:w="5896"/>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重庆大学设计总院</w:t>
            </w:r>
          </w:p>
        </w:tc>
      </w:tr>
      <w:tr>
        <w:trPr>
          <w:cantSplit/>
        </w:trPr>
        <w:tc>
          <w:tcPr>
            <w:tcW w:type="dxa" w:w="3175"/>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住房与政策研究组</w:t>
            </w:r>
          </w:p>
        </w:tc>
        <w:tc>
          <w:tcPr>
            <w:tcW w:type="dxa" w:w="5896"/>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复旦大学住房政策研究中心</w:t>
            </w:r>
          </w:p>
        </w:tc>
      </w:tr>
      <w:tr>
        <w:trPr>
          <w:cantSplit/>
        </w:trPr>
        <w:tc>
          <w:tcPr>
            <w:tcW w:type="dxa" w:w="3175"/>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产业与存量空间组</w:t>
            </w:r>
          </w:p>
        </w:tc>
        <w:tc>
          <w:tcPr>
            <w:tcW w:type="dxa" w:w="5896"/>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双方协同</w:t>
            </w:r>
          </w:p>
        </w:tc>
      </w:tr>
      <w:tr>
        <w:trPr>
          <w:cantSplit/>
        </w:trPr>
        <w:tc>
          <w:tcPr>
            <w:tcW w:type="dxa" w:w="3175"/>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实施机制与评估组</w:t>
            </w:r>
          </w:p>
        </w:tc>
        <w:tc>
          <w:tcPr>
            <w:tcW w:type="dxa" w:w="5896"/>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复旦主责、重大配合</w:t>
            </w:r>
          </w:p>
        </w:tc>
      </w:tr>
    </w:tbl>
    <w:p>
      <w:pPr>
        <w:spacing w:before="200" w:after="120" w:line="300" w:lineRule="auto"/>
        <w:jc w:val="left"/>
        <w:keepLines/>
        <w:keepNext/>
        <w:pBdr>
          <w:bottom w:val="single" w:sz="12" w:space="3" w:color="1F4E79"/>
        </w:pBdr>
      </w:pPr>
      <w:r>
        <w:rPr>
          <w:rFonts w:ascii="黑体" w:hAnsi="黑体" w:eastAsia="黑体" w:cs="黑体"/>
          <w:b/>
          <w:color w:val="1F4E79"/>
          <w:sz w:val="28"/>
        </w:rPr>
        <w:t>十一、时间安排</w:t>
      </w:r>
    </w:p>
    <w:tbl>
      <w:tblPr>
        <w:tblW w:type="dxa" w:w="9072"/>
        <w:jc w:val="center"/>
        <w:tblLayout w:type="fixed"/>
        <w:tblLook w:firstColumn="1" w:firstRow="1" w:lastColumn="0" w:lastRow="0" w:noHBand="0" w:noVBand="1" w:val="04A0"/>
        <w:tblBorders>
          <w:top w:val="single" w:sz="4" w:space="0" w:color="8FA4BC"/>
          <w:left w:val="single" w:sz="4" w:space="0" w:color="8FA4BC"/>
          <w:bottom w:val="single" w:sz="4" w:space="0" w:color="8FA4BC"/>
          <w:right w:val="single" w:sz="4" w:space="0" w:color="8FA4BC"/>
          <w:insideH w:val="single" w:sz="4" w:space="0" w:color="8FA4BC"/>
          <w:insideV w:val="single" w:sz="4" w:space="0" w:color="8FA4BC"/>
        </w:tblBorders>
      </w:tblPr>
      <w:tblGrid>
        <w:gridCol w:w="2381"/>
        <w:gridCol w:w="6690"/>
      </w:tblGrid>
      <w:tr>
        <w:trPr>
          <w:tblHeader/>
          <w:cantSplit/>
        </w:trPr>
        <w:tc>
          <w:tcPr>
            <w:tcW w:type="dxa" w:w="2381"/>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时间</w:t>
            </w:r>
          </w:p>
        </w:tc>
        <w:tc>
          <w:tcPr>
            <w:tcW w:type="dxa" w:w="6690"/>
            <w:vAlign w:val="center"/>
            <w:tcMar>
              <w:top w:w="50" w:type="dxa"/>
              <w:left w:w="70" w:type="dxa"/>
              <w:bottom w:w="50" w:type="dxa"/>
              <w:right w:w="70" w:type="dxa"/>
            </w:tcMar>
            <w:shd w:val="clear" w:color="auto" w:fill="1F4E79"/>
          </w:tcPr>
          <w:p>
            <w:pPr>
              <w:spacing w:before="0" w:after="0" w:line="288" w:lineRule="auto"/>
              <w:jc w:val="center"/>
              <w:keepLines/>
            </w:pPr>
            <w:r/>
            <w:r>
              <w:rPr>
                <w:rFonts w:ascii="黑体" w:hAnsi="黑体" w:eastAsia="黑体" w:cs="黑体"/>
                <w:b/>
                <w:color w:val="FFFFFF"/>
                <w:sz w:val="21"/>
              </w:rPr>
              <w:t>工作安排</w:t>
            </w:r>
          </w:p>
        </w:tc>
      </w:tr>
      <w:tr>
        <w:trPr>
          <w:cantSplit/>
        </w:trPr>
        <w:tc>
          <w:tcPr>
            <w:tcW w:type="dxa" w:w="2381"/>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9月17日</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确定牵头结构；重庆大学设计总院完成/确认重庆采购网报名；取得正式标书；双方互换材料。</w:t>
            </w:r>
          </w:p>
        </w:tc>
      </w:tr>
      <w:tr>
        <w:trPr>
          <w:cantSplit/>
        </w:trPr>
        <w:tc>
          <w:tcPr>
            <w:tcW w:type="dxa" w:w="2381"/>
            <w:vAlign w:val="center"/>
            <w:tcMar>
              <w:top w:w="50" w:type="dxa"/>
              <w:left w:w="70" w:type="dxa"/>
              <w:bottom w:w="50" w:type="dxa"/>
              <w:right w:w="70" w:type="dxa"/>
            </w:tcMar>
            <w:shd w:val="clear" w:color="auto" w:fill="FDECEC"/>
          </w:tcPr>
          <w:p>
            <w:pPr>
              <w:spacing w:before="0" w:after="0" w:line="288" w:lineRule="auto"/>
              <w:jc w:val="center"/>
              <w:keepLines/>
            </w:pPr>
            <w:r/>
            <w:r>
              <w:rPr>
                <w:rFonts w:ascii="宋体" w:hAnsi="宋体" w:eastAsia="宋体" w:cs="宋体"/>
                <w:b/>
                <w:color w:val="C00000"/>
                <w:sz w:val="21"/>
              </w:rPr>
              <w:t>9月18日18:00前</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确认报名审核通过并合法获取正式采购文件；完成资格/评分/业绩矩阵；联合体协议基本定稿。</w:t>
            </w:r>
          </w:p>
        </w:tc>
      </w:tr>
      <w:tr>
        <w:trPr>
          <w:cantSplit/>
        </w:trPr>
        <w:tc>
          <w:tcPr>
            <w:tcW w:type="dxa" w:w="2381"/>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9月19日</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双方完成技术方案框架；锁定项目负责人和核心团队。</w:t>
            </w:r>
          </w:p>
        </w:tc>
      </w:tr>
      <w:tr>
        <w:trPr>
          <w:cantSplit/>
        </w:trPr>
        <w:tc>
          <w:tcPr>
            <w:tcW w:type="dxa" w:w="2381"/>
            <w:vAlign w:val="center"/>
            <w:tcMar>
              <w:top w:w="50" w:type="dxa"/>
              <w:left w:w="70" w:type="dxa"/>
              <w:bottom w:w="50" w:type="dxa"/>
              <w:right w:w="70" w:type="dxa"/>
            </w:tcMar>
            <w:shd w:val="clear" w:color="auto" w:fill="F7F9FC"/>
          </w:tcPr>
          <w:p>
            <w:pPr>
              <w:spacing w:before="0" w:after="0" w:line="288" w:lineRule="auto"/>
              <w:jc w:val="center"/>
              <w:keepLines/>
            </w:pPr>
            <w:r/>
            <w:r>
              <w:rPr>
                <w:rFonts w:ascii="宋体" w:hAnsi="宋体" w:eastAsia="宋体" w:cs="宋体"/>
                <w:b w:val="0"/>
                <w:color w:val="222222"/>
                <w:sz w:val="21"/>
              </w:rPr>
              <w:t>9月20日</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各模块初稿完成；完成商务证明材料。</w:t>
            </w:r>
          </w:p>
        </w:tc>
      </w:tr>
      <w:tr>
        <w:trPr>
          <w:cantSplit/>
        </w:trPr>
        <w:tc>
          <w:tcPr>
            <w:tcW w:type="dxa" w:w="2381"/>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9月21日</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合并第一版完整响应文件；开始电子投标系统测试。</w:t>
            </w:r>
          </w:p>
        </w:tc>
      </w:tr>
      <w:tr>
        <w:trPr>
          <w:cantSplit/>
        </w:trPr>
        <w:tc>
          <w:tcPr>
            <w:tcW w:type="dxa" w:w="2381"/>
            <w:vAlign w:val="center"/>
            <w:tcMar>
              <w:top w:w="50" w:type="dxa"/>
              <w:left w:w="70" w:type="dxa"/>
              <w:bottom w:w="50" w:type="dxa"/>
              <w:right w:w="70" w:type="dxa"/>
            </w:tcMar>
            <w:shd w:val="clear" w:color="auto" w:fill="F7F9FC"/>
          </w:tcPr>
          <w:p>
            <w:pPr>
              <w:spacing w:before="0" w:after="0" w:line="288" w:lineRule="auto"/>
              <w:jc w:val="center"/>
              <w:keepLines/>
            </w:pPr>
            <w:r/>
            <w:r>
              <w:rPr>
                <w:rFonts w:ascii="宋体" w:hAnsi="宋体" w:eastAsia="宋体" w:cs="宋体"/>
                <w:b w:val="0"/>
                <w:color w:val="222222"/>
                <w:sz w:val="21"/>
              </w:rPr>
              <w:t>9月22日</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完整审标：资格、签章、报价、人员、业绩逐项核查。</w:t>
            </w:r>
          </w:p>
        </w:tc>
      </w:tr>
      <w:tr>
        <w:trPr>
          <w:cantSplit/>
        </w:trPr>
        <w:tc>
          <w:tcPr>
            <w:tcW w:type="dxa" w:w="2381"/>
            <w:vAlign w:val="center"/>
            <w:tcMar>
              <w:top w:w="50" w:type="dxa"/>
              <w:left w:w="70" w:type="dxa"/>
              <w:bottom w:w="50" w:type="dxa"/>
              <w:right w:w="70" w:type="dxa"/>
            </w:tcMar>
            <w:shd w:val="clear" w:color="auto" w:fill="FFFFFF"/>
          </w:tcPr>
          <w:p>
            <w:pPr>
              <w:spacing w:before="0" w:after="0" w:line="288" w:lineRule="auto"/>
              <w:jc w:val="center"/>
              <w:keepLines/>
            </w:pPr>
            <w:r/>
            <w:r>
              <w:rPr>
                <w:rFonts w:ascii="宋体" w:hAnsi="宋体" w:eastAsia="宋体" w:cs="宋体"/>
                <w:b w:val="0"/>
                <w:color w:val="222222"/>
                <w:sz w:val="21"/>
              </w:rPr>
              <w:t>9月23日上午</w:t>
            </w:r>
          </w:p>
        </w:tc>
        <w:tc>
          <w:tcPr>
            <w:tcW w:type="dxa" w:w="6690"/>
            <w:vAlign w:val="center"/>
            <w:tcMar>
              <w:top w:w="50" w:type="dxa"/>
              <w:left w:w="70" w:type="dxa"/>
              <w:bottom w:w="50" w:type="dxa"/>
              <w:right w:w="70" w:type="dxa"/>
            </w:tcMar>
            <w:shd w:val="clear" w:color="auto" w:fill="FFFFFF"/>
          </w:tcPr>
          <w:p>
            <w:pPr>
              <w:spacing w:before="0" w:after="0" w:line="288" w:lineRule="auto"/>
              <w:jc w:val="left"/>
              <w:keepLines/>
            </w:pPr>
            <w:r/>
            <w:r>
              <w:rPr>
                <w:rFonts w:ascii="宋体" w:hAnsi="宋体" w:eastAsia="宋体" w:cs="宋体"/>
                <w:b w:val="0"/>
                <w:color w:val="222222"/>
                <w:sz w:val="21"/>
              </w:rPr>
              <w:t>完成最终文件上传；准备CA和远程磋商。请于上午完成，避免临近截止时刻操作。</w:t>
            </w:r>
          </w:p>
        </w:tc>
      </w:tr>
      <w:tr>
        <w:trPr>
          <w:cantSplit/>
        </w:trPr>
        <w:tc>
          <w:tcPr>
            <w:tcW w:type="dxa" w:w="2381"/>
            <w:vAlign w:val="center"/>
            <w:tcMar>
              <w:top w:w="50" w:type="dxa"/>
              <w:left w:w="70" w:type="dxa"/>
              <w:bottom w:w="50" w:type="dxa"/>
              <w:right w:w="70" w:type="dxa"/>
            </w:tcMar>
            <w:shd w:val="clear" w:color="auto" w:fill="FDECEC"/>
          </w:tcPr>
          <w:p>
            <w:pPr>
              <w:spacing w:before="0" w:after="0" w:line="288" w:lineRule="auto"/>
              <w:jc w:val="center"/>
              <w:keepLines/>
            </w:pPr>
            <w:r/>
            <w:r>
              <w:rPr>
                <w:rFonts w:ascii="宋体" w:hAnsi="宋体" w:eastAsia="宋体" w:cs="宋体"/>
                <w:b/>
                <w:color w:val="C00000"/>
                <w:sz w:val="21"/>
              </w:rPr>
              <w:t>9月23日14:30</w:t>
            </w:r>
          </w:p>
        </w:tc>
        <w:tc>
          <w:tcPr>
            <w:tcW w:type="dxa" w:w="6690"/>
            <w:vAlign w:val="center"/>
            <w:tcMar>
              <w:top w:w="50" w:type="dxa"/>
              <w:left w:w="70" w:type="dxa"/>
              <w:bottom w:w="50" w:type="dxa"/>
              <w:right w:w="70" w:type="dxa"/>
            </w:tcMar>
            <w:shd w:val="clear" w:color="auto" w:fill="F7F9FC"/>
          </w:tcPr>
          <w:p>
            <w:pPr>
              <w:spacing w:before="0" w:after="0" w:line="288" w:lineRule="auto"/>
              <w:jc w:val="left"/>
              <w:keepLines/>
            </w:pPr>
            <w:r/>
            <w:r>
              <w:rPr>
                <w:rFonts w:ascii="宋体" w:hAnsi="宋体" w:eastAsia="宋体" w:cs="宋体"/>
                <w:b w:val="0"/>
                <w:color w:val="222222"/>
                <w:sz w:val="21"/>
              </w:rPr>
              <w:t>响应文件递交截止并开始磋商。</w:t>
            </w:r>
          </w:p>
        </w:tc>
      </w:tr>
    </w:tbl>
    <w:p>
      <w:pPr>
        <w:spacing w:before="120" w:after="80" w:line="317" w:lineRule="auto"/>
        <w:ind w:firstLine="420"/>
        <w:jc w:val="both"/>
        <w:keepLines/>
      </w:pPr>
      <w:r>
        <w:rPr>
          <w:rFonts w:ascii="宋体" w:hAnsi="宋体" w:eastAsia="宋体" w:cs="宋体"/>
          <w:b w:val="0"/>
          <w:sz w:val="24"/>
        </w:rPr>
        <w:t>本项目采用全流程电子投标。响应文件须通过平台投标客户端编制，并在重庆市政府采购网“我的投标项目 → 在线投标”中提交。开标时须使用CA，并配备带摄像头、麦克风的电脑，在规定时间内完成远程解密和磋商。</w:t>
      </w:r>
    </w:p>
    <w:p>
      <w:pPr>
        <w:spacing w:before="200" w:after="120" w:line="300" w:lineRule="auto"/>
        <w:jc w:val="left"/>
        <w:keepLines/>
        <w:keepNext/>
        <w:pBdr>
          <w:bottom w:val="single" w:sz="12" w:space="3" w:color="1F4E79"/>
        </w:pBdr>
      </w:pPr>
      <w:r>
        <w:rPr>
          <w:rFonts w:ascii="黑体" w:hAnsi="黑体" w:eastAsia="黑体" w:cs="黑体"/>
          <w:b/>
          <w:color w:val="1F4E79"/>
          <w:sz w:val="28"/>
        </w:rPr>
        <w:t>十二、投标启动会</w:t>
      </w:r>
    </w:p>
    <w:p>
      <w:pPr>
        <w:spacing w:before="0" w:after="80" w:line="317" w:lineRule="auto"/>
        <w:ind w:firstLine="420"/>
        <w:jc w:val="both"/>
        <w:keepLines/>
        <w:keepNext/>
      </w:pPr>
      <w:r>
        <w:rPr>
          <w:rFonts w:ascii="宋体" w:hAnsi="宋体" w:eastAsia="宋体" w:cs="宋体"/>
          <w:b w:val="0"/>
          <w:sz w:val="24"/>
        </w:rPr>
        <w:t>重庆大学设计总院取得正式磋商文件后，双方召开一次约30分钟的投标启动会，只确认下列五项，其余事项会后推进：</w:t>
      </w:r>
    </w:p>
    <w:p>
      <w:pPr>
        <w:spacing w:before="0" w:after="40" w:line="307" w:lineRule="auto"/>
        <w:ind w:left="227"/>
        <w:jc w:val="both"/>
        <w:keepLines/>
        <w:keepNext/>
      </w:pPr>
      <w:r>
        <w:rPr>
          <w:rFonts w:ascii="黑体" w:hAnsi="黑体" w:eastAsia="黑体" w:cs="黑体"/>
          <w:b/>
          <w:color w:val="1F4E79"/>
          <w:sz w:val="24"/>
        </w:rPr>
        <w:t xml:space="preserve">1.  </w:t>
      </w:r>
      <w:r>
        <w:rPr>
          <w:rFonts w:ascii="宋体" w:hAnsi="宋体" w:eastAsia="宋体" w:cs="宋体"/>
          <w:b w:val="0"/>
          <w:color w:val="222222"/>
          <w:sz w:val="24"/>
        </w:rPr>
        <w:t>谁是正式联合体成员</w:t>
      </w:r>
    </w:p>
    <w:p>
      <w:pPr>
        <w:spacing w:before="0" w:after="40" w:line="307" w:lineRule="auto"/>
        <w:ind w:left="227"/>
        <w:jc w:val="both"/>
        <w:keepLines/>
        <w:keepNext/>
      </w:pPr>
      <w:r>
        <w:rPr>
          <w:rFonts w:ascii="黑体" w:hAnsi="黑体" w:eastAsia="黑体" w:cs="黑体"/>
          <w:b/>
          <w:color w:val="1F4E79"/>
          <w:sz w:val="24"/>
        </w:rPr>
        <w:t xml:space="preserve">2.  </w:t>
      </w:r>
      <w:r>
        <w:rPr>
          <w:rFonts w:ascii="宋体" w:hAnsi="宋体" w:eastAsia="宋体" w:cs="宋体"/>
          <w:b w:val="0"/>
          <w:color w:val="222222"/>
          <w:sz w:val="24"/>
        </w:rPr>
        <w:t>谁牵头</w:t>
      </w:r>
    </w:p>
    <w:p>
      <w:pPr>
        <w:spacing w:before="0" w:after="40" w:line="307" w:lineRule="auto"/>
        <w:ind w:left="227"/>
        <w:jc w:val="both"/>
        <w:keepLines/>
        <w:keepNext/>
      </w:pPr>
      <w:r>
        <w:rPr>
          <w:rFonts w:ascii="黑体" w:hAnsi="黑体" w:eastAsia="黑体" w:cs="黑体"/>
          <w:b/>
          <w:color w:val="1F4E79"/>
          <w:sz w:val="24"/>
        </w:rPr>
        <w:t xml:space="preserve">3.  </w:t>
      </w:r>
      <w:r>
        <w:rPr>
          <w:rFonts w:ascii="宋体" w:hAnsi="宋体" w:eastAsia="宋体" w:cs="宋体"/>
          <w:b w:val="0"/>
          <w:color w:val="222222"/>
          <w:sz w:val="24"/>
        </w:rPr>
        <w:t>商务评分是否足够</w:t>
      </w:r>
    </w:p>
    <w:p>
      <w:pPr>
        <w:spacing w:before="0" w:after="40" w:line="307" w:lineRule="auto"/>
        <w:ind w:left="227"/>
        <w:jc w:val="both"/>
        <w:keepLines/>
        <w:keepNext/>
      </w:pPr>
      <w:r>
        <w:rPr>
          <w:rFonts w:ascii="黑体" w:hAnsi="黑体" w:eastAsia="黑体" w:cs="黑体"/>
          <w:b/>
          <w:color w:val="1F4E79"/>
          <w:sz w:val="24"/>
        </w:rPr>
        <w:t xml:space="preserve">4.  </w:t>
      </w:r>
      <w:r>
        <w:rPr>
          <w:rFonts w:ascii="宋体" w:hAnsi="宋体" w:eastAsia="宋体" w:cs="宋体"/>
          <w:b w:val="0"/>
          <w:color w:val="222222"/>
          <w:sz w:val="24"/>
        </w:rPr>
        <w:t>谁负责哪几章</w:t>
      </w:r>
    </w:p>
    <w:p>
      <w:pPr>
        <w:spacing w:before="0" w:after="40" w:line="307" w:lineRule="auto"/>
        <w:ind w:left="227"/>
        <w:jc w:val="both"/>
        <w:keepLines/>
      </w:pPr>
      <w:r>
        <w:rPr>
          <w:rFonts w:ascii="黑体" w:hAnsi="黑体" w:eastAsia="黑体" w:cs="黑体"/>
          <w:b/>
          <w:color w:val="1F4E79"/>
          <w:sz w:val="24"/>
        </w:rPr>
        <w:t xml:space="preserve">5.  </w:t>
      </w:r>
      <w:r>
        <w:rPr>
          <w:rFonts w:ascii="宋体" w:hAnsi="宋体" w:eastAsia="宋体" w:cs="宋体"/>
          <w:b w:val="0"/>
          <w:color w:val="222222"/>
          <w:sz w:val="24"/>
        </w:rPr>
        <w:t>谁负责最终投标上传</w:t>
      </w:r>
    </w:p>
    <w:p>
      <w:pPr>
        <w:spacing w:before="200" w:after="120" w:line="300" w:lineRule="auto"/>
        <w:jc w:val="left"/>
        <w:keepLines/>
        <w:keepNext/>
        <w:pBdr>
          <w:bottom w:val="single" w:sz="12" w:space="3" w:color="1F4E79"/>
        </w:pBdr>
      </w:pPr>
      <w:r>
        <w:rPr>
          <w:rFonts w:ascii="黑体" w:hAnsi="黑体" w:eastAsia="黑体" w:cs="黑体"/>
          <w:b/>
          <w:color w:val="1F4E79"/>
          <w:sz w:val="28"/>
        </w:rPr>
        <w:t>十三、当前工作重点</w:t>
      </w:r>
    </w:p>
    <w:tbl>
      <w:tblPr>
        <w:tblW w:type="dxa" w:w="9072"/>
        <w:jc w:val="center"/>
        <w:tblLayout w:type="fixed"/>
        <w:tblLook w:firstColumn="1" w:firstRow="1" w:lastColumn="0" w:lastRow="0" w:noHBand="0" w:noVBand="1" w:val="04A0"/>
        <w:tblBorders>
          <w:top w:val="single" w:sz="12" w:space="0" w:color="1F4E79"/>
          <w:left w:val="single" w:sz="12" w:space="0" w:color="1F4E79"/>
          <w:bottom w:val="single" w:sz="12" w:space="0" w:color="1F4E79"/>
          <w:right w:val="single" w:sz="12" w:space="0" w:color="1F4E79"/>
          <w:insideH w:val="single" w:sz="12" w:space="0" w:color="1F4E79"/>
          <w:insideV w:val="single" w:sz="12" w:space="0" w:color="1F4E79"/>
        </w:tblBorders>
      </w:tblPr>
      <w:tblGrid>
        <w:gridCol w:w="9072"/>
      </w:tblGrid>
      <w:tr>
        <w:trPr>
          <w:cantSplit/>
        </w:trPr>
        <w:tc>
          <w:tcPr>
            <w:tcW w:type="dxa" w:w="9072"/>
            <w:vAlign w:val="center"/>
            <w:shd w:val="clear" w:color="auto" w:fill="FDECEC"/>
            <w:tcMar>
              <w:top w:w="80" w:type="dxa"/>
              <w:left w:w="120" w:type="dxa"/>
              <w:bottom w:w="80" w:type="dxa"/>
              <w:right w:w="120" w:type="dxa"/>
            </w:tcMar>
          </w:tcPr>
          <w:p>
            <w:pPr>
              <w:spacing w:before="0" w:after="40" w:line="288" w:lineRule="auto"/>
              <w:jc w:val="left"/>
              <w:keepLines/>
            </w:pPr>
            <w:r/>
            <w:r>
              <w:rPr>
                <w:rFonts w:ascii="黑体" w:hAnsi="黑体" w:eastAsia="黑体" w:cs="黑体"/>
                <w:b/>
                <w:color w:val="C00000"/>
                <w:sz w:val="22"/>
              </w:rPr>
              <w:t>首要任务</w:t>
            </w:r>
          </w:p>
          <w:p>
            <w:pPr>
              <w:spacing w:before="0" w:after="0" w:line="312" w:lineRule="auto"/>
              <w:jc w:val="both"/>
              <w:keepLines/>
            </w:pPr>
            <w:r>
              <w:rPr>
                <w:rFonts w:ascii="宋体" w:hAnsi="宋体" w:eastAsia="宋体" w:cs="宋体"/>
                <w:b w:val="0"/>
                <w:color w:val="222222"/>
                <w:sz w:val="22"/>
              </w:rPr>
              <w:t>重庆大学设计总院当前首要任务，是在2026年9月18日18:00前完成重庆政府采购网正式报名，并确认系统显示“合法获取采购文件”或“报名审核通过”。完成后，将系统正式下载的全部磋商文件和附件发送复旦项目组，双方按评分标准确定联合体结构并开展联合投标。</w:t>
            </w:r>
          </w:p>
        </w:tc>
      </w:tr>
    </w:tbl>
    <w:p>
      <w:pPr>
        <w:spacing w:before="280" w:after="0" w:line="276" w:lineRule="auto"/>
        <w:jc w:val="center"/>
        <w:keepLines/>
      </w:pPr>
      <w:r>
        <w:rPr>
          <w:rFonts w:ascii="宋体" w:hAnsi="宋体" w:eastAsia="宋体" w:cs="宋体"/>
          <w:b w:val="0"/>
          <w:color w:val="595959"/>
          <w:sz w:val="21"/>
        </w:rPr>
        <w:t>— 完 —</w:t>
      </w:r>
    </w:p>
    <w:sectPr w:rsidR="00FC693F" w:rsidRPr="0006063C" w:rsidSect="00034616">
      <w:headerReference w:type="default" r:id="rId9"/>
      <w:footerReference w:type="default" r:id="rId10"/>
      <w:pgSz w:w="11906" w:h="16838"/>
      <w:pgMar w:top="1247" w:right="1417" w:bottom="1247"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keepLines/>
    </w:pPr>
    <w:r>
      <w:rPr>
        <w:rFonts w:ascii="宋体" w:hAnsi="宋体" w:eastAsia="宋体" w:cs="宋体"/>
        <w:b w:val="0"/>
        <w:color w:val="595959"/>
        <w:sz w:val="18"/>
      </w:rPr>
      <w:t xml:space="preserve">第 </w:t>
    </w:r>
    <w:r>
      <w:rPr>
        <w:rFonts w:ascii="宋体" w:hAnsi="宋体" w:eastAsia="宋体" w:cs="宋体"/>
        <w:b w:val="0"/>
        <w:color w:val="595959"/>
        <w:sz w:val="18"/>
      </w:rPr>
      <w:fldChar w:fldCharType="begin"/>
      <w:instrText xml:space="preserve"> PAGE </w:instrText>
      <w:fldChar w:fldCharType="separate"/>
    </w:r>
    <w:r>
      <w:rPr>
        <w:rFonts w:ascii="宋体" w:hAnsi="宋体" w:eastAsia="宋体" w:cs="宋体"/>
        <w:b w:val="0"/>
        <w:color w:val="595959"/>
        <w:sz w:val="18"/>
      </w:rPr>
      <w:t>1</w:t>
    </w:r>
    <w:r>
      <w:fldChar w:fldCharType="end"/>
    </w:r>
    <w:r>
      <w:rPr>
        <w:rFonts w:ascii="宋体" w:hAnsi="宋体" w:eastAsia="宋体" w:cs="宋体"/>
        <w:b w:val="0"/>
        <w:color w:val="595959"/>
        <w:sz w:val="18"/>
      </w:rPr>
      <w:t xml:space="preserve"> 页    项目编号：JLP26C00100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keepLines/>
      <w:pBdr>
        <w:bottom w:val="single" w:sz="6" w:space="1" w:color="1F4E79"/>
      </w:pBdr>
    </w:pPr>
    <w:r>
      <w:rPr>
        <w:rFonts w:ascii="宋体" w:hAnsi="宋体" w:eastAsia="宋体" w:cs="宋体"/>
        <w:b w:val="0"/>
        <w:color w:val="595959"/>
        <w:sz w:val="18"/>
      </w:rPr>
      <w:t>内部工作文件  ·  联合投标工作方案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九龙坡城市更新项目联合投标工作方案</dc:title>
  <dc:subject>重庆市九龙坡区高质量推动城市更新“十五五”时期实施方案</dc:subject>
  <dc:creator>复旦大学住房政策研究中心</dc:creator>
  <cp:keywords/>
  <dc:description>竞争性磋商项目 JLP26C00100 联合投标工作方案</dc:description>
  <cp:lastModifiedBy/>
  <cp:revision>1</cp:revision>
  <dcterms:created xsi:type="dcterms:W3CDTF">2013-12-23T23:15:00Z</dcterms:created>
  <dcterms:modified xsi:type="dcterms:W3CDTF">2013-12-23T23:15:00Z</dcterms:modified>
  <cp:category>内部工作文件</cp:category>
</cp:coreProperties>
</file>