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142B4A" w:val="clear"/>
            <w:tcBorders>
              <w:top w:val="single" w:sz="0" w:color="142B4A" w:space="0"/>
              <w:left w:val="single" w:sz="0" w:color="142B4A" w:space="0"/>
              <w:bottom w:val="single" w:sz="0" w:color="142B4A" w:space="0"/>
              <w:right w:val="single" w:sz="0" w:color="142B4A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44"/>
              </w:rPr>
              <w:t>胡继刚</w:t>
            </w:r>
            <w:r>
              <w:rPr>
                <w:rFonts w:ascii="微软雅黑" w:hAnsi="微软雅黑" w:eastAsia="微软雅黑"/>
                <w:b w:val="0"/>
                <w:color w:val="E8D5A3"/>
                <w:sz w:val="22"/>
              </w:rPr>
              <w:t xml:space="preserve">    HU Jigang</w:t>
            </w:r>
          </w:p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E8D5A3"/>
                <w:sz w:val="22"/>
              </w:rPr>
              <w:t>国企 / 城投 / 产业集团 · 产业发展 / 科技招商 / 城市空间运营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D5DEE8"/>
                <w:sz w:val="20"/>
              </w:rPr>
              <w:t>副教授级高级工程师 ｜ 复旦大学硕士研究生 ｜ 原万科上海区域投资副总经理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现任复旦大学住房政策研究中心秘书长  ｜  杨浦区科技企业联合会执行会长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1987 年生  ｜  九三学社  ｜  上海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18678408669  ｜  262782809@qq.com  ｜  微信 hu262782809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一线投拓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10 年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万科团队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约 8 人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靖江 + 金坛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43 亿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新进城市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盐城 / 台州 / 金坛</w:t>
            </w:r>
          </w:p>
        </w:tc>
      </w:tr>
    </w:tbl>
    <w:p>
      <w:pPr>
        <w:spacing w:before="160" w:after="40" w:line="283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万科上海区域投资副总经理。2011–2021 年一线投拓，做成国资合作、政府代建、不良盘活、轻资产委管与物流园落地。2021 年起任复旦大学住房政策研究中心秘书长，研究城市更新与新质产业空间如何承接产业落地；同时以杨浦科企联执行会长对接企业、招商与国际合作。要证明的是：能找到产业、企业、资本和场景，再落到一座城市、一栋楼或一个园区。一线投资计至 2021 年。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现任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复旦大学住房政策研究中心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秘书长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2021.06 – 至今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中心做研究、观点与报告：城市更新、存量资产与新质产业空间；关注 AI / 未来产业如何落地城市，以及城市如何用空间、政策、资本和场景吸引企业。产业方向，不是技术研发岗。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2025.05「全球新经济增长引擎峰会」：主办方代表发言，并与竺劲、汪毅、王维军圆桌（人民网上海、中新社上海点名）。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2026.05「人工智能商业化落地与硬核投资破局峰会」：主办方代表并主持圆桌（央广网、杨浦区政府、上观等）。行业合作组织能力，不是付费落地项目。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2024.06 主持锦天城「他山之石——中国投资者的海外不动产战略布局」。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代表案例 · 存量商业空间产业导入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北欧创新国际会客厅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共同发起 / 落地杨浦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2026.03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杨浦宝龙旭辉广场环创中心。宝龙商办为共同发起单位，不是雇主。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复旦中心出方法、科企联对接企业，与宝龙商办等共同发起，将国际创新合作平台导入存量商业空间。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公开报道点名会长王晓明、执行会长胡继刚（杨浦区政府官网等）。科技企业出海与海外企业进来一体两面，服务地方招商。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社会职务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杨浦区科技企业联合会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6670"/>
                <w:sz w:val="16"/>
              </w:rPr>
              <w:t>执行会长 · 企业 / 招商 / 出海 / 项目</w:t>
            </w:r>
          </w:p>
        </w:tc>
        <w:tc>
          <w:tcPr>
            <w:tcW w:type="dxa" w:w="5159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复旦不动产资管协会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6670"/>
                <w:sz w:val="16"/>
              </w:rPr>
              <w:t>创始人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专业经历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万科企业股份有限公司 · 上海区域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江浙事业部投资副总经理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2017.03 – 2021.06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上海。汇报投资合作开发部总经理。团队约 8 人。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镇江大港金域蓝湾：收并购，与大港集团各半合作（约 199 亩 / 32 万方）。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嘉兴海宁商住：政府代建落地（18.53 亿元 / 约 23 万㎡）。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上海龙湖滟澜山：法拍不良资产盘活（测算 IRR 约 16.16%）。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靖江印象城：勾地后引入印力轻资产委管（约 15 亿元 / 556 亩 / 自持购物中心约 7 万方）；金坛理想城底价收并购（约 28.05 亿元 / 561 亩）。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主导获取并落地万纬嘉兴平湖、上海奉贤南桥冷链物流园；推动进入盐城、台州、常州金坛。</w:t>
      </w:r>
    </w:p>
    <w:p>
      <w:r>
        <w:br w:type="page"/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专业经历（续）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新城控股集团股份有限公司 · 总部战略投资中心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投资拓展资深专业经理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2015.11 – 2017.02</w:t>
            </w:r>
          </w:p>
        </w:tc>
      </w:tr>
    </w:tbl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负责山东、江苏等区域战略布局与土地获取。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主导临沂新城吾悦广场勾地，对接市级重点招商政策，系集团首进山东的重资产项目。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以轻资产模式获取青岛新城吾悦广场（品牌输出 + 委管，约 13.68 万㎡）。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中南建设集团 / 中南控股集团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投资拓展经理 / 战略企划管理主管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2011.06 – 2015.10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 / 南通。2011.06–2012.10 总裁办战略企划；其后新项目发展中心。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从集团战略企划到项目投资拓展的完整历练；获取如皋中南世纪城、苏州中南锦苑。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江阴白鹭湾与碧桂园同股同权合作。2014 年底派驻四川任西南拓展负责人。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推进美国养老、日本永旺等国际产业合作对接（推进中，非已签约落地）。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代表项目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做法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规模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镇江大港金域蓝湾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国资合作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收并购，与大港集团各半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199 亩 / 32 万方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嘉兴海宁商住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政府代建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代建落地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18.53 亿 / 约 23 万㎡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上海龙湖滟澜山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不良盘活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法拍收并购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测算 IRR 约 16.16%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靖江印象城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轻资产委管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勾地 + 印力委管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15 亿 / 556 亩 / 购物中心约 7 万方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南桥 / 平湖冷链园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产业园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获取落地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物流园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金坛理想城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收并购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底价获取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28.05 亿 / 561 亩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临沂新城吾悦广场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政府招商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对接市级重点招商政策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集团首进山东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青岛新城吾悦广场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轻资产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品牌输出 + 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13.68 万㎡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教育背景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复旦大学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硕士研究生 · 工商管理（财务金融方向）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2018.09 – 2021.06</w:t>
            </w:r>
          </w:p>
        </w:tc>
      </w:tr>
    </w:tbl>
    <w:p>
      <w:pPr>
        <w:spacing w:before="20" w:after="6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在职攻读，与万科上海区域任职并行。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中国海洋大学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土木工程 · 工学学士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2007.09 – 2011.07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资质</w:t>
      </w:r>
    </w:p>
    <w:p>
      <w:pPr>
        <w:spacing w:before="0" w:after="80"/>
        <w:pBdr>
          <w:bottom w:val="single" w:sz="14" w:space="1" w:color="C48A2B"/>
        </w:pBdr>
      </w:pP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副教授级高级工程师；会计师中级；IELTS 6.0；上海市人才引进认证资质。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论文《万科物流地产平台业务发展战略研究》。实用新型专利 2 项（建筑工程管理用功能脚架、防护围栏）。</w:t>
      </w:r>
    </w:p>
    <w:p>
      <w:pPr>
        <w:spacing w:before="80" w:after="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投递方向：国企 / 城投 / 产业集团 · 产业发展 / 科技招商 / 城市空间运营。能力：投资拓展 → 政企招商 → 产业组织 → 智库与资源配置。项目底盘：国资合作、政府代建、不良盘活、轻资产委管、产业园落地。研究方向：AI 产业如何落地城市。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