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color w:val="1A3A5C"/>
          <w:sz w:val="30"/>
        </w:rPr>
        <w:t>10 月 31 日王德峰老师活动｜联合运营合作方案</w:t>
      </w:r>
    </w:p>
    <w:p>
      <w:pPr>
        <w:spacing w:before="0" w:after="120" w:line="240" w:lineRule="auto"/>
        <w:jc w:val="center"/>
      </w:pPr>
      <w:r>
        <w:rPr>
          <w:rFonts w:ascii="微软雅黑" w:hAnsi="微软雅黑" w:eastAsia="微软雅黑"/>
          <w:b/>
          <w:color w:val="8B6914"/>
          <w:sz w:val="18"/>
        </w:rPr>
        <w:t>合作方提供老师及内容 / IP  ·  我方负责商业化、组织、渠道与现场交付  ·  按来源分成，不买断</w:t>
      </w:r>
    </w:p>
    <w:tbl>
      <w:tblPr>
        <w:tblW w:type="dxa" w:w="10546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val="clear" w:color="auto" w:fill="F7F3EA"/>
            <w:tcBorders>
              <w:top w:val="single" w:sz="6" w:color="8B6914" w:space="0"/>
              <w:left w:val="single" w:sz="16" w:color="8B6914" w:space="0"/>
              <w:bottom w:val="single" w:sz="6" w:color="8B6914" w:space="0"/>
              <w:right w:val="single" w:sz="6" w:color="8B691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20" w:line="259" w:lineRule="auto"/>
            </w:pPr>
            <w:r/>
            <w:r>
              <w:rPr>
                <w:rFonts w:ascii="微软雅黑" w:hAnsi="微软雅黑" w:eastAsia="微软雅黑"/>
                <w:b/>
                <w:color w:val="8B6914"/>
                <w:sz w:val="16"/>
              </w:rPr>
              <w:t>一句话定位</w:t>
            </w:r>
          </w:p>
          <w:p>
            <w:pPr>
              <w:spacing w:before="0" w:after="20" w:line="259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我方不是票务渠道，而是联合主办 / 联合运营方。10 月 31 日作为独立项目和第一期样板：按收入来源、成本承担和履约责任结算，不做 10–18 万元一次性买断。</w:t>
            </w:r>
          </w:p>
        </w:tc>
      </w:tr>
    </w:tbl>
    <w:p>
      <w:pPr>
        <w:spacing w:before="100" w:after="40" w:line="240" w:lineRule="auto"/>
      </w:pPr>
      <w:r>
        <w:rPr>
          <w:rFonts w:ascii="微软雅黑" w:hAnsi="微软雅黑" w:eastAsia="微软雅黑"/>
          <w:b/>
          <w:color w:val="1A3A5C"/>
          <w:sz w:val="21"/>
        </w:rPr>
        <w:t>1. 双方分工</w:t>
      </w:r>
    </w:p>
    <w:tbl>
      <w:tblPr>
        <w:tblStyle w:val="TableGrid"/>
        <w:tblW w:type="dxa" w:w="10546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1927"/>
            <w:shd w:val="clear" w:color="auto" w:fill="1A3A5C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4309"/>
            <w:shd w:val="clear" w:color="auto" w:fill="1A3A5C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合作方</w:t>
            </w:r>
          </w:p>
        </w:tc>
        <w:tc>
          <w:tcPr>
            <w:tcW w:type="dxa" w:w="4309"/>
            <w:shd w:val="clear" w:color="auto" w:fill="1A3A5C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我方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IP / 内容</w:t>
            </w:r>
          </w:p>
        </w:tc>
        <w:tc>
          <w:tcPr>
            <w:tcW w:type="dxa" w:w="4309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老师出席、主题、授权链</w:t>
            </w:r>
          </w:p>
        </w:tc>
        <w:tc>
          <w:tcPr>
            <w:tcW w:type="dxa" w:w="4309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产品化、场次与商业包装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场地 / 现场</w:t>
            </w:r>
          </w:p>
        </w:tc>
        <w:tc>
          <w:tcPr>
            <w:tcW w:type="dxa" w:w="4309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配合老师端要求</w:t>
            </w:r>
          </w:p>
        </w:tc>
        <w:tc>
          <w:tcPr>
            <w:tcW w:type="dxa" w:w="4309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场地、制作、人员、交付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销售 / 招商</w:t>
            </w:r>
          </w:p>
        </w:tc>
        <w:tc>
          <w:tcPr>
            <w:tcW w:type="dxa" w:w="4309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自有渠道与素材</w:t>
            </w:r>
          </w:p>
        </w:tc>
        <w:tc>
          <w:tcPr>
            <w:tcW w:type="dxa" w:w="4309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票务、企业客户、赞助、社群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财务 / 数据</w:t>
            </w:r>
          </w:p>
        </w:tc>
        <w:tc>
          <w:tcPr>
            <w:tcW w:type="dxa" w:w="4309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核对本方来源订单</w:t>
            </w:r>
          </w:p>
        </w:tc>
        <w:tc>
          <w:tcPr>
            <w:tcW w:type="dxa" w:w="4309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统一台账、对账、结算报告</w:t>
            </w:r>
          </w:p>
        </w:tc>
      </w:tr>
    </w:tbl>
    <w:p>
      <w:pPr>
        <w:spacing w:before="100" w:after="40" w:line="240" w:lineRule="auto"/>
      </w:pPr>
      <w:r>
        <w:rPr>
          <w:rFonts w:ascii="微软雅黑" w:hAnsi="微软雅黑" w:eastAsia="微软雅黑"/>
          <w:b/>
          <w:color w:val="1A3A5C"/>
          <w:sz w:val="21"/>
        </w:rPr>
        <w:t>2. 按来源分成（建议起点）</w:t>
      </w:r>
    </w:p>
    <w:tbl>
      <w:tblPr>
        <w:tblStyle w:val="TableGrid"/>
        <w:tblW w:type="dxa" w:w="10546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4876"/>
            <w:shd w:val="clear" w:color="auto" w:fill="1A3A5C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收入来源</w:t>
            </w:r>
          </w:p>
        </w:tc>
        <w:tc>
          <w:tcPr>
            <w:tcW w:type="dxa" w:w="2835"/>
            <w:shd w:val="clear" w:color="auto" w:fill="1A3A5C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我方</w:t>
            </w:r>
          </w:p>
        </w:tc>
        <w:tc>
          <w:tcPr>
            <w:tcW w:type="dxa" w:w="2835"/>
            <w:shd w:val="clear" w:color="auto" w:fill="1A3A5C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合作方</w:t>
            </w:r>
          </w:p>
        </w:tc>
      </w:tr>
      <w:tr>
        <w:trPr>
          <w:cantSplit/>
        </w:trPr>
        <w:tc>
          <w:tcPr>
            <w:tcW w:type="dxa" w:w="4876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我方独立报名 / 企业客户</w:t>
            </w:r>
          </w:p>
        </w:tc>
        <w:tc>
          <w:tcPr>
            <w:tcW w:type="dxa" w:w="2835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60%</w:t>
            </w:r>
          </w:p>
        </w:tc>
        <w:tc>
          <w:tcPr>
            <w:tcW w:type="dxa" w:w="2835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40%</w:t>
            </w:r>
          </w:p>
        </w:tc>
      </w:tr>
      <w:tr>
        <w:trPr>
          <w:cantSplit/>
        </w:trPr>
        <w:tc>
          <w:tcPr>
            <w:tcW w:type="dxa" w:w="4876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合作方独立报名</w:t>
            </w:r>
          </w:p>
        </w:tc>
        <w:tc>
          <w:tcPr>
            <w:tcW w:type="dxa" w:w="2835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25%</w:t>
            </w:r>
          </w:p>
        </w:tc>
        <w:tc>
          <w:tcPr>
            <w:tcW w:type="dxa" w:w="2835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75%</w:t>
            </w:r>
          </w:p>
        </w:tc>
      </w:tr>
      <w:tr>
        <w:trPr>
          <w:cantSplit/>
        </w:trPr>
        <w:tc>
          <w:tcPr>
            <w:tcW w:type="dxa" w:w="4876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共同渠道</w:t>
            </w:r>
          </w:p>
        </w:tc>
        <w:tc>
          <w:tcPr>
            <w:tcW w:type="dxa" w:w="2835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50%</w:t>
            </w:r>
          </w:p>
        </w:tc>
        <w:tc>
          <w:tcPr>
            <w:tcW w:type="dxa" w:w="2835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50%</w:t>
            </w:r>
          </w:p>
        </w:tc>
      </w:tr>
      <w:tr>
        <w:trPr>
          <w:cantSplit/>
        </w:trPr>
        <w:tc>
          <w:tcPr>
            <w:tcW w:type="dxa" w:w="4876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我方引入赞助</w:t>
            </w:r>
          </w:p>
        </w:tc>
        <w:tc>
          <w:tcPr>
            <w:tcW w:type="dxa" w:w="2835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70%</w:t>
            </w:r>
          </w:p>
        </w:tc>
        <w:tc>
          <w:tcPr>
            <w:tcW w:type="dxa" w:w="2835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30%</w:t>
            </w:r>
          </w:p>
        </w:tc>
      </w:tr>
      <w:tr>
        <w:trPr>
          <w:cantSplit/>
        </w:trPr>
        <w:tc>
          <w:tcPr>
            <w:tcW w:type="dxa" w:w="4876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合作方引入赞助</w:t>
            </w:r>
          </w:p>
        </w:tc>
        <w:tc>
          <w:tcPr>
            <w:tcW w:type="dxa" w:w="2835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25%</w:t>
            </w:r>
          </w:p>
        </w:tc>
        <w:tc>
          <w:tcPr>
            <w:tcW w:type="dxa" w:w="2835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75%</w:t>
            </w:r>
          </w:p>
        </w:tc>
      </w:tr>
    </w:tbl>
    <w:p>
      <w:pPr>
        <w:spacing w:before="60" w:after="60" w:line="259" w:lineRule="auto"/>
      </w:pPr>
      <w:r>
        <w:rPr>
          <w:rFonts w:ascii="微软雅黑" w:hAnsi="微软雅黑" w:eastAsia="微软雅黑"/>
          <w:b w:val="0"/>
          <w:color w:val="666666"/>
          <w:sz w:val="16"/>
        </w:rPr>
        <w:t>备选：票务实收 0–10 万部分 70%:30%，10–30 万部分 60%:40%，30 万以上 50%:50%。如需保障，可讨论 3–5 万元以内、分期、取消全退，不建议大额买断。</w:t>
      </w:r>
    </w:p>
    <w:p>
      <w:pPr>
        <w:spacing w:before="100" w:after="40" w:line="240" w:lineRule="auto"/>
      </w:pPr>
      <w:r>
        <w:rPr>
          <w:rFonts w:ascii="微软雅黑" w:hAnsi="微软雅黑" w:eastAsia="微软雅黑"/>
          <w:b/>
          <w:color w:val="1A3A5C"/>
          <w:sz w:val="21"/>
        </w:rPr>
        <w:t>3. 票价建议（一线城市 · 2.5–3 小时公开讲座）</w:t>
      </w:r>
    </w:p>
    <w:p>
      <w:pPr>
        <w:spacing w:before="0" w:after="60" w:line="259" w:lineRule="auto"/>
      </w:pPr>
      <w:r>
        <w:rPr>
          <w:rFonts w:ascii="微软雅黑" w:hAnsi="微软雅黑" w:eastAsia="微软雅黑"/>
          <w:b w:val="0"/>
          <w:color w:val="333333"/>
          <w:sz w:val="17"/>
        </w:rPr>
        <w:t>城镇月可支配收入中位数约 4,398 元。499 元约占 11.3%，适合做主力；699 元约占 15.9%，不宜做全场基础价。票面加权约 559 元，预计平均实收 500–530 元。</w:t>
      </w:r>
    </w:p>
    <w:tbl>
      <w:tblPr>
        <w:tblStyle w:val="TableGrid"/>
        <w:tblW w:type="dxa" w:w="10546"/>
        <w:tblLayout w:type="fixed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val="clear" w:color="auto" w:fill="3D5A40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票档</w:t>
            </w:r>
          </w:p>
        </w:tc>
        <w:tc>
          <w:tcPr>
            <w:tcW w:type="dxa" w:w="1814"/>
            <w:shd w:val="clear" w:color="auto" w:fill="3D5A40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价格</w:t>
            </w:r>
          </w:p>
        </w:tc>
        <w:tc>
          <w:tcPr>
            <w:tcW w:type="dxa" w:w="1360"/>
            <w:shd w:val="clear" w:color="auto" w:fill="3D5A40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占比</w:t>
            </w:r>
          </w:p>
        </w:tc>
        <w:tc>
          <w:tcPr>
            <w:tcW w:type="dxa" w:w="5216"/>
            <w:shd w:val="clear" w:color="auto" w:fill="3D5A40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功能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限量引流票</w:t>
            </w:r>
          </w:p>
        </w:tc>
        <w:tc>
          <w:tcPr>
            <w:tcW w:type="dxa" w:w="1814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299 元</w:t>
            </w:r>
          </w:p>
        </w:tc>
        <w:tc>
          <w:tcPr>
            <w:tcW w:type="dxa" w:w="1360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10%</w:t>
            </w:r>
          </w:p>
        </w:tc>
        <w:tc>
          <w:tcPr>
            <w:tcW w:type="dxa" w:w="5216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后区，制造开售速度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早鸟普通票</w:t>
            </w:r>
          </w:p>
        </w:tc>
        <w:tc>
          <w:tcPr>
            <w:tcW w:type="dxa" w:w="1814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399 元</w:t>
            </w:r>
          </w:p>
        </w:tc>
        <w:tc>
          <w:tcPr>
            <w:tcW w:type="dxa" w:w="1360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15%</w:t>
            </w:r>
          </w:p>
        </w:tc>
        <w:tc>
          <w:tcPr>
            <w:tcW w:type="dxa" w:w="5216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开售前 7–10 天限量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标准票</w:t>
            </w:r>
          </w:p>
        </w:tc>
        <w:tc>
          <w:tcPr>
            <w:tcW w:type="dxa" w:w="1814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499 元</w:t>
            </w:r>
          </w:p>
        </w:tc>
        <w:tc>
          <w:tcPr>
            <w:tcW w:type="dxa" w:w="1360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40%</w:t>
            </w:r>
          </w:p>
        </w:tc>
        <w:tc>
          <w:tcPr>
            <w:tcW w:type="dxa" w:w="5216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对外传播主价格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优选票</w:t>
            </w:r>
          </w:p>
        </w:tc>
        <w:tc>
          <w:tcPr>
            <w:tcW w:type="dxa" w:w="1814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699 元</w:t>
            </w:r>
          </w:p>
        </w:tc>
        <w:tc>
          <w:tcPr>
            <w:tcW w:type="dxa" w:w="1360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25%</w:t>
            </w:r>
          </w:p>
        </w:tc>
        <w:tc>
          <w:tcPr>
            <w:tcW w:type="dxa" w:w="5216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前区 + 赠书 / 资料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VIP 票</w:t>
            </w:r>
          </w:p>
        </w:tc>
        <w:tc>
          <w:tcPr>
            <w:tcW w:type="dxa" w:w="1814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999 元</w:t>
            </w:r>
          </w:p>
        </w:tc>
        <w:tc>
          <w:tcPr>
            <w:tcW w:type="dxa" w:w="1360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10%</w:t>
            </w:r>
          </w:p>
        </w:tc>
        <w:tc>
          <w:tcPr>
            <w:tcW w:type="dxa" w:w="5216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前排、问答、签名或合影</w:t>
            </w:r>
          </w:p>
        </w:tc>
      </w:tr>
    </w:tbl>
    <w:p>
      <w:pPr>
        <w:spacing w:before="60" w:after="60" w:line="259" w:lineRule="auto"/>
      </w:pPr>
      <w:r>
        <w:rPr>
          <w:rFonts w:ascii="微软雅黑" w:hAnsi="微软雅黑" w:eastAsia="微软雅黑"/>
          <w:b w:val="0"/>
          <w:color w:val="666666"/>
          <w:sz w:val="16"/>
        </w:rPr>
        <w:t>先放 50 张 399 元早鸟：48 小时售出 ≥70% 则维持 499 标准价；不足 30% 则市场更接近 299–399 元。晚宴 / 企业桌另计，不摊进标准票。</w:t>
      </w:r>
    </w:p>
    <w:p>
      <w:pPr>
        <w:spacing w:before="100" w:after="40" w:line="240" w:lineRule="auto"/>
      </w:pPr>
      <w:r>
        <w:rPr>
          <w:rFonts w:ascii="微软雅黑" w:hAnsi="微软雅黑" w:eastAsia="微软雅黑"/>
          <w:b/>
          <w:color w:val="1A3A5C"/>
          <w:sz w:val="21"/>
        </w:rPr>
        <w:t>4. 必须写入合同的底线</w:t>
      </w:r>
    </w:p>
    <w:tbl>
      <w:tblPr>
        <w:tblStyle w:val="TableGrid"/>
        <w:tblW w:type="dxa" w:w="10546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2381"/>
            <w:shd w:val="clear" w:color="auto" w:fill="1A3A5C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主题</w:t>
            </w:r>
          </w:p>
        </w:tc>
        <w:tc>
          <w:tcPr>
            <w:tcW w:type="dxa" w:w="8164"/>
            <w:shd w:val="clear" w:color="auto" w:fill="1A3A5C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约定要点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老师确认 / 取消</w:t>
            </w:r>
          </w:p>
        </w:tc>
        <w:tc>
          <w:tcPr>
            <w:tcW w:type="dxa" w:w="8164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书面确认出席；老师端取消则已付保障款 100% 退还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宣传授权</w:t>
            </w:r>
          </w:p>
        </w:tc>
        <w:tc>
          <w:tcPr>
            <w:tcW w:type="dxa" w:w="8164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姓名、肖像、海报、短视频可用范围和审批时限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数据与防绕单</w:t>
            </w:r>
          </w:p>
        </w:tc>
        <w:tc>
          <w:tcPr>
            <w:tcW w:type="dxa" w:w="8164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项目新客户共有；各自引入资源设 12 个月保护期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结算</w:t>
            </w:r>
          </w:p>
        </w:tc>
        <w:tc>
          <w:tcPr>
            <w:tcW w:type="dxa" w:w="8164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统一台账，开售后按周对账，结束后 10 个工作日内初结</w:t>
            </w:r>
          </w:p>
        </w:tc>
      </w:tr>
    </w:tbl>
    <w:p>
      <w:pPr>
        <w:spacing w:before="100" w:after="40" w:line="240" w:lineRule="auto"/>
      </w:pPr>
      <w:r>
        <w:rPr>
          <w:rFonts w:ascii="微软雅黑" w:hAnsi="微软雅黑" w:eastAsia="微软雅黑"/>
          <w:b/>
          <w:color w:val="1A3A5C"/>
          <w:sz w:val="21"/>
        </w:rPr>
        <w:t>5. 建议立即确认的三件事</w:t>
      </w:r>
    </w:p>
    <w:tbl>
      <w:tblPr>
        <w:tblW w:type="dxa" w:w="10546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shd w:val="clear" w:color="auto" w:fill="EEF3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微软雅黑" w:hAnsi="微软雅黑" w:eastAsia="微软雅黑"/>
                <w:b/>
                <w:color w:val="1A3A5C"/>
                <w:sz w:val="18"/>
              </w:rPr>
              <w:t>① 身份</w:t>
            </w:r>
          </w:p>
          <w:p>
            <w:pPr>
              <w:spacing w:before="0" w:after="20" w:line="259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书面确认我方为联合运营方，按来源分成，不采用 10–18 万买断。</w:t>
            </w:r>
          </w:p>
        </w:tc>
        <w:tc>
          <w:tcPr>
            <w:tcW w:type="dxa" w:w="3515"/>
            <w:shd w:val="clear" w:color="auto" w:fill="F7F3E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微软雅黑" w:hAnsi="微软雅黑" w:eastAsia="微软雅黑"/>
                <w:b/>
                <w:color w:val="1A3A5C"/>
                <w:sz w:val="18"/>
              </w:rPr>
              <w:t>② 票价</w:t>
            </w:r>
          </w:p>
          <w:p>
            <w:pPr>
              <w:spacing w:before="0" w:after="20" w:line="259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按 299 / 399 / 499 / 699 / 999 启动，主力 499 元；先测 50 张早鸟。</w:t>
            </w:r>
          </w:p>
        </w:tc>
        <w:tc>
          <w:tcPr>
            <w:tcW w:type="dxa" w:w="3515"/>
            <w:shd w:val="clear" w:color="auto" w:fill="E8F2E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微软雅黑" w:hAnsi="微软雅黑" w:eastAsia="微软雅黑"/>
                <w:b/>
                <w:color w:val="1A3A5C"/>
                <w:sz w:val="18"/>
              </w:rPr>
              <w:t>③ 授权</w:t>
            </w:r>
          </w:p>
          <w:p>
            <w:pPr>
              <w:spacing w:before="0" w:after="20" w:line="259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一周内提供老师出席书面确认、授权链，达到可开售讨论条件。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652" w:right="680" w:bottom="595" w:left="680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5"/>
      </w:rPr>
      <w:t>本页供合作方快速对齐。细节见《联合运营合作方案（对外完整版）》。不构成要约，最终以合同为准。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微软雅黑" w:hAnsi="微软雅黑" w:eastAsia="微软雅黑"/>
        <w:b w:val="0"/>
        <w:color w:val="666666"/>
        <w:sz w:val="16"/>
      </w:rPr>
      <w:t>对外沟通 · 一页纸  ·  讨论稿  ·  2026年8月14日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