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800" w:lineRule="auto" w:line="307"/>
        <w:jc w:val="center"/>
      </w:pPr>
      <w:r>
        <w:rPr>
          <w:rFonts w:ascii="微软雅黑" w:hAnsi="微软雅黑" w:eastAsia="微软雅黑" w:cs="微软雅黑"/>
          <w:b w:val="0"/>
          <w:color w:val="C9A227"/>
          <w:sz w:val="24"/>
        </w:rPr>
        <w:t>提交对象</w:t>
      </w:r>
    </w:p>
    <w:p>
      <w:pPr>
        <w:spacing w:after="320" w:before="0" w:lineRule="auto" w:line="307"/>
        <w:jc w:val="center"/>
      </w:pPr>
      <w:r>
        <w:rPr>
          <w:rFonts w:ascii="微软雅黑" w:hAnsi="微软雅黑" w:eastAsia="微软雅黑" w:cs="微软雅黑"/>
          <w:b/>
          <w:color w:val="0E2240"/>
          <w:sz w:val="36"/>
        </w:rPr>
        <w:t>上海同浦汇科技有限公司</w:t>
      </w:r>
    </w:p>
    <w:p>
      <w:pPr>
        <w:spacing w:after="80" w:before="0" w:lineRule="auto" w:line="307"/>
        <w:jc w:val="center"/>
      </w:pPr>
      <w:r>
        <w:rPr>
          <w:rFonts w:ascii="微软雅黑" w:hAnsi="微软雅黑" w:eastAsia="微软雅黑" w:cs="微软雅黑"/>
          <w:b/>
          <w:color w:val="0E2240"/>
          <w:sz w:val="44"/>
        </w:rPr>
        <w:t>创智汇30场活动与科技企业服务中心筹备</w:t>
      </w:r>
    </w:p>
    <w:p>
      <w:pPr>
        <w:spacing w:after="400" w:before="0" w:lineRule="auto" w:line="307"/>
        <w:jc w:val="center"/>
      </w:pPr>
      <w:r>
        <w:rPr>
          <w:rFonts w:ascii="微软雅黑" w:hAnsi="微软雅黑" w:eastAsia="微软雅黑" w:cs="微软雅黑"/>
          <w:b/>
          <w:color w:val="C9A227"/>
          <w:sz w:val="40"/>
        </w:rPr>
        <w:t>业务承接合作策划案</w:t>
      </w:r>
    </w:p>
    <w:p>
      <w:pPr>
        <w:spacing w:after="160" w:before="0" w:lineRule="auto" w:line="307"/>
        <w:jc w:val="center"/>
      </w:pPr>
      <w:r>
        <w:rPr>
          <w:rFonts w:ascii="微软雅黑" w:hAnsi="微软雅黑" w:eastAsia="微软雅黑" w:cs="微软雅黑"/>
          <w:b w:val="0"/>
          <w:color w:val="243044"/>
          <w:sz w:val="24"/>
        </w:rPr>
        <w:t>承接范围：30 场可核验活动  ＋  科技企业服务中心挂牌筹备</w:t>
      </w:r>
    </w:p>
    <w:p>
      <w:pPr>
        <w:spacing w:after="160" w:before="0" w:lineRule="auto" w:line="307"/>
        <w:jc w:val="center"/>
      </w:pPr>
      <w:r>
        <w:rPr>
          <w:rFonts w:ascii="微软雅黑" w:hAnsi="微软雅黑" w:eastAsia="微软雅黑" w:cs="微软雅黑"/>
          <w:b w:val="0"/>
          <w:color w:val="243044"/>
          <w:sz w:val="24"/>
        </w:rPr>
        <w:t>新赛道：智能建造 × 建筑产业出海</w:t>
      </w:r>
    </w:p>
    <w:p>
      <w:pPr>
        <w:spacing w:after="360" w:before="0" w:lineRule="auto" w:line="307"/>
        <w:jc w:val="center"/>
      </w:pPr>
      <w:r>
        <w:rPr>
          <w:rFonts w:ascii="微软雅黑" w:hAnsi="微软雅黑" w:eastAsia="微软雅黑" w:cs="微软雅黑"/>
          <w:b w:val="0"/>
          <w:color w:val="243044"/>
          <w:sz w:val="24"/>
        </w:rPr>
        <w:t>政策包装：现代服务业 + 新一代信息技术（科技赋能建筑）</w:t>
      </w:r>
    </w:p>
    <w:p>
      <w:pPr>
        <w:spacing w:after="160" w:before="0" w:lineRule="auto" w:line="307"/>
        <w:jc w:val="center"/>
      </w:pPr>
      <w:r>
        <w:rPr>
          <w:rFonts w:ascii="微软雅黑" w:hAnsi="微软雅黑" w:eastAsia="微软雅黑" w:cs="微软雅黑"/>
          <w:b w:val="0"/>
          <w:color w:val="243044"/>
          <w:sz w:val="24"/>
        </w:rPr>
        <w:t>提出方：上海市杨浦区科技企业服务中心</w:t>
      </w:r>
    </w:p>
    <w:p>
      <w:pPr>
        <w:spacing w:after="160" w:before="0" w:lineRule="auto" w:line="307"/>
        <w:jc w:val="center"/>
      </w:pPr>
      <w:r>
        <w:rPr>
          <w:rFonts w:ascii="微软雅黑" w:hAnsi="微软雅黑" w:eastAsia="微软雅黑" w:cs="微软雅黑"/>
          <w:b w:val="0"/>
          <w:color w:val="243044"/>
          <w:sz w:val="24"/>
        </w:rPr>
        <w:t>联合：上海市杨浦区科技企业联合会</w:t>
      </w:r>
    </w:p>
    <w:p>
      <w:pPr>
        <w:spacing w:after="160" w:before="0" w:lineRule="auto" w:line="307"/>
        <w:jc w:val="center"/>
      </w:pPr>
      <w:r>
        <w:rPr>
          <w:rFonts w:ascii="微软雅黑" w:hAnsi="微软雅黑" w:eastAsia="微软雅黑" w:cs="微软雅黑"/>
          <w:b w:val="0"/>
          <w:color w:val="243044"/>
          <w:sz w:val="24"/>
        </w:rPr>
        <w:t>学术支持：复旦大学住房政策研究中心（学术支持）</w:t>
      </w:r>
    </w:p>
    <w:p>
      <w:pPr>
        <w:spacing w:after="240" w:before="0" w:lineRule="auto" w:line="307"/>
        <w:jc w:val="center"/>
      </w:pPr>
      <w:r>
        <w:rPr>
          <w:rFonts w:ascii="微软雅黑" w:hAnsi="微软雅黑" w:eastAsia="微软雅黑" w:cs="微软雅黑"/>
          <w:b w:val="0"/>
          <w:color w:val="243044"/>
          <w:sz w:val="24"/>
        </w:rPr>
        <w:t>2026年9月1日　｜　执行周期 2026.08—2027.07</w:t>
      </w:r>
    </w:p>
    <w:p>
      <w:pPr>
        <w:spacing w:after="480" w:before="0" w:lineRule="auto" w:line="307"/>
        <w:jc w:val="center"/>
      </w:pPr>
      <w:r>
        <w:rPr>
          <w:rFonts w:ascii="微软雅黑" w:hAnsi="微软雅黑" w:eastAsia="微软雅黑" w:cs="微软雅黑"/>
          <w:b w:val="0"/>
          <w:color w:val="C9A227"/>
          <w:sz w:val="20"/>
        </w:rPr>
        <w:t>机密 · 仅供同浦汇合作沟通，不作为对园区/投资方的承诺函</w:t>
      </w:r>
    </w:p>
    <w:p>
      <w:pPr>
        <w:spacing w:after="160" w:before="0" w:lineRule="auto" w:line="307"/>
        <w:jc w:val="left"/>
      </w:pPr>
      <w:r>
        <w:rPr>
          <w:rFonts w:ascii="微软雅黑" w:hAnsi="微软雅黑" w:eastAsia="微软雅黑" w:cs="微软雅黑"/>
          <w:b/>
          <w:color w:val="0E2240"/>
          <w:sz w:val="28"/>
        </w:rPr>
        <w:t>致同浦汇</w:t>
      </w:r>
    </w:p>
    <w:p>
      <w:pPr>
        <w:spacing w:after="160" w:before="0" w:lineRule="auto" w:line="307"/>
        <w:ind w:firstLine="420"/>
        <w:jc w:val="both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昨天（8 月 31 日）关于创智汇赛道调整的交流已经把方向说清楚：园区不再以原 AI+IP 内容线作为主叙事，而是转向智能建造与建筑产业出海，并用现代服务业、新一代信息技术的口径完成政策包装。合同口径已经调整，运营成本已经发生，审核方工程部门需要尽快看到一份可执行、可核验、可过审的答卷。</w:t>
      </w:r>
    </w:p>
    <w:p>
      <w:pPr>
        <w:spacing w:after="320" w:before="0" w:lineRule="auto" w:line="307"/>
        <w:ind w:firstLine="420"/>
        <w:jc w:val="both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据此，杨浦区科技企业服务中心提出：承接同浦汇在本项目上的两项具体业务——一是把 30 场活动按新赛道办完；二是把科技企业服务中心筹备到可挂牌、可申报。同浦汇继续做创智汇面前的产业招服入口和客户关系主人，不把园区接口让出去。本文件是给贵司的承接策划案，便于内部对齐后转交审核材料，不作为对园区或投资方的单方承诺函。</w:t>
      </w:r>
    </w:p>
    <w:p>
      <w:pPr>
        <w:spacing w:after="200" w:before="320" w:lineRule="auto" w:line="307"/>
        <w:jc w:val="left"/>
        <w:pBdr>
          <w:bottom w:val="single" w:sz="12" w:space="4" w:color="C9A227"/>
        </w:pBdr>
      </w:pPr>
      <w:r>
        <w:rPr>
          <w:rFonts w:ascii="微软雅黑" w:hAnsi="微软雅黑" w:eastAsia="微软雅黑" w:cs="微软雅黑"/>
          <w:b/>
          <w:color w:val="0E2240"/>
          <w:sz w:val="32"/>
        </w:rPr>
        <w:t>一、昨日共识：为什么现在要承接</w:t>
      </w:r>
    </w:p>
    <w:p>
      <w:pPr>
        <w:spacing w:after="160" w:before="0" w:lineRule="auto" w:line="307"/>
        <w:jc w:val="both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以下内容按 8 月 31 日交流整理，作为双方共同事实，不另做行业预测承诺。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1. 创智汇上周已确定更换赛道：由原 AI+IP 内容线，转向与建筑设计、智能建造结合的方向，并与同济设计资源、中建相关方主业相匹配。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2. 新方向按「现代服务业 + 新一代信息技术」包装，科技赋能建筑，不与高新/载体政策申报发生本质冲突。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3. 核心目标不是把地产施工企业招来租办公室，而是搭建「建筑产业出海」集群：设计、测绘、模块化、绿色低碳、施工机器人可成为出口内容。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4. 会上研判：传统建筑施工景气与回款能力明显弱于人工智能赛道，若仍按招租逻辑推进，后续难以说服审核方，也难以支撑活动转化。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5. 对外口径须谨慎：业主写杨浦科创集团；不宜简单用「中建」名义对接政府资源。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6. 复旦大学住房政策研究中心可提供行业数据、活动组织、专家网络与海外专题经验，作为白皮书、授牌与出海研究的学术支持，不替代同浦汇的园区接口地位。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7. 出海优先城市化率较低的一带一路、东南亚、中亚、非洲、中东市场；产品抓手为绿色低碳 + 建筑施工机器人 + 模块化建筑（含越南等地已有就地建厂探索）。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8. 政策路径：引导入驻企业把经营范围写入智能施工、绿色节能，自行完成高新技术企业认定；可参考广州越秀零碳体验馆，用研学参观形成稳定运营，不完全依赖补贴。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9. 空间抓手：展厅约 500㎡ 做建筑出海科技与模块化产品展示，其余空间承载新材料等。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10. 驻沪领馆资源按目标国匹配（会上口径约 80+），领事到访不纳入 30 场年包。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11. 节奏：合同口径已调整、运营成本已经发生；需尽快形成可交给审核方工程部门的初步方案。</w:t>
      </w:r>
    </w:p>
    <w:p>
      <w:pPr>
        <w:spacing w:after="160" w:before="160" w:lineRule="auto" w:line="307"/>
        <w:jc w:val="both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一句话：旧定位「AI+IP / 数字内容无界共创港」让位给新定位「智能建造 × 建筑产业出海」。30 场年包的商务结构可以沿用，主题线和服中心筹备必须按新赛道重写。</w:t>
      </w:r>
    </w:p>
    <w:p>
      <w:pPr>
        <w:spacing w:after="200" w:before="320" w:lineRule="auto" w:line="307"/>
        <w:jc w:val="left"/>
        <w:pBdr>
          <w:bottom w:val="single" w:sz="12" w:space="4" w:color="C9A227"/>
        </w:pBdr>
      </w:pPr>
      <w:r>
        <w:rPr>
          <w:rFonts w:ascii="微软雅黑" w:hAnsi="微软雅黑" w:eastAsia="微软雅黑" w:cs="微软雅黑"/>
          <w:b/>
          <w:color w:val="0E2240"/>
          <w:sz w:val="32"/>
        </w:rPr>
        <w:t>二、承接范围与不承接边界</w:t>
      </w:r>
    </w:p>
    <w:p>
      <w:pPr>
        <w:spacing w:after="120" w:before="240" w:lineRule="auto" w:line="307"/>
        <w:jc w:val="left"/>
      </w:pPr>
      <w:r>
        <w:rPr>
          <w:rFonts w:ascii="微软雅黑" w:hAnsi="微软雅黑" w:eastAsia="微软雅黑" w:cs="微软雅黑"/>
          <w:b/>
          <w:color w:val="1F6B5C"/>
          <w:sz w:val="26"/>
        </w:rPr>
        <w:t>2.1 承接什么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685"/>
            <w:shd w:fill="0E2240" w:val="clear"/>
            <w:tcBorders>
              <w:top w:val="single" w:sz="4" w:color="C9A227"/>
              <w:left w:val="single" w:sz="4" w:color="C9A227"/>
              <w:bottom w:val="single" w:sz="4" w:color="C9A227"/>
              <w:right w:val="single" w:sz="4" w:color="C9A227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工作包</w:t>
            </w:r>
          </w:p>
        </w:tc>
        <w:tc>
          <w:tcPr>
            <w:tcW w:type="dxa" w:w="5953"/>
            <w:shd w:fill="0E2240" w:val="clear"/>
            <w:tcBorders>
              <w:top w:val="single" w:sz="4" w:color="C9A227"/>
              <w:left w:val="single" w:sz="4" w:color="C9A227"/>
              <w:bottom w:val="single" w:sz="4" w:color="C9A227"/>
              <w:right w:val="single" w:sz="4" w:color="C9A227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具体内容</w:t>
            </w:r>
          </w:p>
        </w:tc>
      </w:tr>
      <w:tr>
        <w:tc>
          <w:tcPr>
            <w:tcW w:type="dxa" w:w="3685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30场活动全案执行</w:t>
            </w:r>
          </w:p>
        </w:tc>
        <w:tc>
          <w:tcPr>
            <w:tcW w:type="dxa" w:w="5953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策划、档期、邀约协同、现场执行、月报、可核验交付</w:t>
            </w:r>
          </w:p>
        </w:tc>
      </w:tr>
      <w:tr>
        <w:tc>
          <w:tcPr>
            <w:tcW w:type="dxa" w:w="3685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科技企业服务中心筹备</w:t>
            </w:r>
          </w:p>
        </w:tc>
        <w:tc>
          <w:tcPr>
            <w:tcW w:type="dxa" w:w="5953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挂牌路径、制度与人员、载体认定材料、创新券机构申请、高新辅导SOP、展陈与研学大纲</w:t>
            </w:r>
          </w:p>
        </w:tc>
      </w:tr>
      <w:tr>
        <w:tc>
          <w:tcPr>
            <w:tcW w:type="dxa" w:w="3685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新赛道叙事与审核材料</w:t>
            </w:r>
          </w:p>
        </w:tc>
        <w:tc>
          <w:tcPr>
            <w:tcW w:type="dxa" w:w="5953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把昨日共识写成可过审的一页纸 + 90天工作包</w:t>
            </w:r>
          </w:p>
        </w:tc>
      </w:tr>
      <w:tr>
        <w:tc>
          <w:tcPr>
            <w:tcW w:type="dxa" w:w="3685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学术与白皮书协同</w:t>
            </w:r>
          </w:p>
        </w:tc>
        <w:tc>
          <w:tcPr>
            <w:tcW w:type="dxa" w:w="5953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对接复旦住房政策研究中心，开题、发布节奏与授牌预热</w:t>
            </w:r>
          </w:p>
        </w:tc>
      </w:tr>
    </w:tbl>
    <w:p/>
    <w:p>
      <w:pPr>
        <w:spacing w:after="120" w:before="240" w:lineRule="auto" w:line="307"/>
        <w:jc w:val="left"/>
      </w:pPr>
      <w:r>
        <w:rPr>
          <w:rFonts w:ascii="微软雅黑" w:hAnsi="微软雅黑" w:eastAsia="微软雅黑" w:cs="微软雅黑"/>
          <w:b/>
          <w:color w:val="1F6B5C"/>
          <w:sz w:val="26"/>
        </w:rPr>
        <w:t>2.2 明确不承接、不承诺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不取代同浦汇作为园区产业招服入口与客户关系主人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不做租金去化对赌，也不做「必须租出去」的必要性条款（办公 3.3 元高于周边）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不承诺必带外资企业、不承诺领事必到场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不把出海专题、领事到访、挂牌仪式装进 30 万元年包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不向企业承诺高新/载体/补贴必然获批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园区销售促成仍由园区负责；我方与同浦汇负责带到场、建群、回访摘要</w:t>
      </w:r>
    </w:p>
    <w:p>
      <w:pPr>
        <w:spacing w:after="160" w:before="0" w:lineRule="auto" w:line="307"/>
        <w:ind w:firstLine="420"/>
        <w:jc w:val="both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这样写，是为了让同浦汇在面对园区和审核方时站得住：该承诺的是场次、人数、月报和筹备节点；不承诺的是租金去化、外企到场、补贴获批和领事出席。</w:t>
      </w:r>
    </w:p>
    <w:p>
      <w:pPr>
        <w:spacing w:after="200" w:before="320" w:lineRule="auto" w:line="307"/>
        <w:jc w:val="left"/>
        <w:pBdr>
          <w:bottom w:val="single" w:sz="12" w:space="4" w:color="C9A227"/>
        </w:pBdr>
      </w:pPr>
      <w:r>
        <w:rPr>
          <w:rFonts w:ascii="微软雅黑" w:hAnsi="微软雅黑" w:eastAsia="微软雅黑" w:cs="微软雅黑"/>
          <w:b/>
          <w:color w:val="0E2240"/>
          <w:sz w:val="32"/>
        </w:rPr>
        <w:t>三、角色分工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fill="0E2240" w:val="clear"/>
            <w:tcBorders>
              <w:top w:val="single" w:sz="4" w:color="C9A227"/>
              <w:left w:val="single" w:sz="4" w:color="C9A227"/>
              <w:bottom w:val="single" w:sz="4" w:color="C9A227"/>
              <w:right w:val="single" w:sz="4" w:color="C9A227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主体</w:t>
            </w:r>
          </w:p>
        </w:tc>
        <w:tc>
          <w:tcPr>
            <w:tcW w:type="dxa" w:w="6803"/>
            <w:shd w:fill="0E2240" w:val="clear"/>
            <w:tcBorders>
              <w:top w:val="single" w:sz="4" w:color="C9A227"/>
              <w:left w:val="single" w:sz="4" w:color="C9A227"/>
              <w:bottom w:val="single" w:sz="4" w:color="C9A227"/>
              <w:right w:val="single" w:sz="4" w:color="C9A227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在本承接方案中的责任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同浦汇</w:t>
            </w:r>
          </w:p>
        </w:tc>
        <w:tc>
          <w:tcPr>
            <w:tcW w:type="dxa" w:w="6803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园区接口、在谈客户、带客名单协同、建群与回访台账、向园区转交促成线索</w:t>
            </w:r>
          </w:p>
        </w:tc>
      </w:tr>
      <w:tr>
        <w:tc>
          <w:tcPr>
            <w:tcW w:type="dxa" w:w="2835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科技企业服务中心</w:t>
            </w:r>
          </w:p>
        </w:tc>
        <w:tc>
          <w:tcPr>
            <w:tcW w:type="dxa" w:w="6803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30场策划与现场执行、服中心挂牌筹备、政策申报材料、月报验收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科技企业联合会</w:t>
            </w:r>
          </w:p>
        </w:tc>
        <w:tc>
          <w:tcPr>
            <w:tcW w:type="dxa" w:w="6803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联合协办、行业组织协同、活动背书</w:t>
            </w:r>
          </w:p>
        </w:tc>
      </w:tr>
      <w:tr>
        <w:tc>
          <w:tcPr>
            <w:tcW w:type="dxa" w:w="2835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复旦住房政策研究中心</w:t>
            </w:r>
          </w:p>
        </w:tc>
        <w:tc>
          <w:tcPr>
            <w:tcW w:type="dxa" w:w="6803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学术支持、白皮书、专家与行业数据、海外专题研究（按场次确认）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创智汇 / 园区</w:t>
            </w:r>
          </w:p>
        </w:tc>
        <w:tc>
          <w:tcPr>
            <w:tcW w:type="dxa" w:w="6803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场地物业、导视、样板间、在谈名单、销售促成</w:t>
            </w:r>
          </w:p>
        </w:tc>
      </w:tr>
      <w:tr>
        <w:tc>
          <w:tcPr>
            <w:tcW w:type="dxa" w:w="2835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杨浦科创集团</w:t>
            </w:r>
          </w:p>
        </w:tc>
        <w:tc>
          <w:tcPr>
            <w:tcW w:type="dxa" w:w="6803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空间业主；重大口径与场地条件确认</w:t>
            </w:r>
          </w:p>
        </w:tc>
      </w:tr>
    </w:tbl>
    <w:p/>
    <w:p>
      <w:pPr>
        <w:spacing w:after="160" w:before="0" w:lineRule="auto" w:line="307"/>
        <w:jc w:val="left"/>
      </w:pPr>
      <w:r>
        <w:rPr>
          <w:rFonts w:ascii="微软雅黑" w:hAnsi="微软雅黑" w:eastAsia="微软雅黑" w:cs="微软雅黑"/>
          <w:b/>
          <w:color w:val="243044"/>
          <w:sz w:val="22"/>
        </w:rPr>
        <w:t>同浦汇联系人：高辰辰　15339617481　产业招服</w:t>
      </w:r>
    </w:p>
    <w:p>
      <w:pPr>
        <w:spacing w:after="160" w:before="0" w:lineRule="auto" w:line="307"/>
        <w:jc w:val="both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空间业主：杨浦科创集团（杨浦国资）。审核相关方：中建相关工程/投资审核方（需过审，不写入合同业主栏）。</w:t>
      </w:r>
    </w:p>
    <w:p>
      <w:pPr>
        <w:spacing w:after="200" w:before="320" w:lineRule="auto" w:line="307"/>
        <w:jc w:val="left"/>
        <w:pBdr>
          <w:bottom w:val="single" w:sz="12" w:space="4" w:color="C9A227"/>
        </w:pBdr>
      </w:pPr>
      <w:r>
        <w:rPr>
          <w:rFonts w:ascii="微软雅黑" w:hAnsi="微软雅黑" w:eastAsia="微软雅黑" w:cs="微软雅黑"/>
          <w:b/>
          <w:color w:val="0E2240"/>
          <w:sz w:val="32"/>
        </w:rPr>
        <w:t>四、工作包 A：30 场活动全案</w:t>
      </w:r>
    </w:p>
    <w:p>
      <w:pPr>
        <w:spacing w:after="120" w:before="240" w:lineRule="auto" w:line="307"/>
        <w:jc w:val="left"/>
      </w:pPr>
      <w:r>
        <w:rPr>
          <w:rFonts w:ascii="微软雅黑" w:hAnsi="微软雅黑" w:eastAsia="微软雅黑" w:cs="微软雅黑"/>
          <w:b/>
          <w:color w:val="1F6B5C"/>
          <w:sz w:val="26"/>
        </w:rPr>
        <w:t>4.1 锁版商务口径（对园区不变）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fill="0E2240" w:val="clear"/>
            <w:tcBorders>
              <w:top w:val="single" w:sz="4" w:color="C9A227"/>
              <w:left w:val="single" w:sz="4" w:color="C9A227"/>
              <w:bottom w:val="single" w:sz="4" w:color="C9A227"/>
              <w:right w:val="single" w:sz="4" w:color="C9A227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370"/>
            <w:shd w:fill="0E2240" w:val="clear"/>
            <w:tcBorders>
              <w:top w:val="single" w:sz="4" w:color="C9A227"/>
              <w:left w:val="single" w:sz="4" w:color="C9A227"/>
              <w:bottom w:val="single" w:sz="4" w:color="C9A227"/>
              <w:right w:val="single" w:sz="4" w:color="C9A227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口径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产品</w:t>
            </w:r>
          </w:p>
        </w:tc>
        <w:tc>
          <w:tcPr>
            <w:tcW w:type="dxa" w:w="7370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30 场 / 30 万元（固定执行费）</w:t>
            </w:r>
          </w:p>
        </w:tc>
      </w:tr>
      <w:tr>
        <w:tc>
          <w:tcPr>
            <w:tcW w:type="dxa" w:w="226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周期</w:t>
            </w:r>
          </w:p>
        </w:tc>
        <w:tc>
          <w:tcPr>
            <w:tcW w:type="dxa" w:w="7370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2026.08—2027.07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人数 / 负责人</w:t>
            </w:r>
          </w:p>
        </w:tc>
        <w:tc>
          <w:tcPr>
            <w:tcW w:type="dxa" w:w="7370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每场 ≤30 人（可核验）；≤30%，不做 100% 承兑</w:t>
            </w:r>
          </w:p>
        </w:tc>
      </w:tr>
      <w:tr>
        <w:tc>
          <w:tcPr>
            <w:tcW w:type="dxa" w:w="226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触达</w:t>
            </w:r>
          </w:p>
        </w:tc>
        <w:tc>
          <w:tcPr>
            <w:tcW w:type="dxa" w:w="7370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全年约 600+ 人次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付款</w:t>
            </w:r>
          </w:p>
        </w:tc>
        <w:tc>
          <w:tcPr>
            <w:tcW w:type="dxa" w:w="7370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签约后 7 日内 50% 启动款；Q3、Q4、次年 Q1、次年 Q2 各 10%；年终收官 10% 尾款</w:t>
            </w:r>
          </w:p>
        </w:tc>
      </w:tr>
      <w:tr>
        <w:tc>
          <w:tcPr>
            <w:tcW w:type="dxa" w:w="226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验收</w:t>
            </w:r>
          </w:p>
        </w:tc>
        <w:tc>
          <w:tcPr>
            <w:tcW w:type="dxa" w:w="7370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季度场次完成度 + 月报验收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门票赞助</w:t>
            </w:r>
          </w:p>
        </w:tc>
        <w:tc>
          <w:tcPr>
            <w:tcW w:type="dxa" w:w="7370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可冲抵成本，不替代打包价</w:t>
            </w:r>
          </w:p>
        </w:tc>
      </w:tr>
    </w:tbl>
    <w:p/>
    <w:p>
      <w:pPr>
        <w:spacing w:after="120" w:before="240" w:lineRule="auto" w:line="307"/>
        <w:jc w:val="left"/>
      </w:pPr>
      <w:r>
        <w:rPr>
          <w:rFonts w:ascii="微软雅黑" w:hAnsi="微软雅黑" w:eastAsia="微软雅黑" w:cs="微软雅黑"/>
          <w:b/>
          <w:color w:val="1F6B5C"/>
          <w:sz w:val="26"/>
        </w:rPr>
        <w:t>4.2 新赛道下的六条线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fill="0E2240" w:val="clear"/>
            <w:tcBorders>
              <w:top w:val="single" w:sz="4" w:color="C9A227"/>
              <w:left w:val="single" w:sz="4" w:color="C9A227"/>
              <w:bottom w:val="single" w:sz="4" w:color="C9A227"/>
              <w:right w:val="single" w:sz="4" w:color="C9A227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线条</w:t>
            </w:r>
          </w:p>
        </w:tc>
        <w:tc>
          <w:tcPr>
            <w:tcW w:type="dxa" w:w="1134"/>
            <w:shd w:fill="0E2240" w:val="clear"/>
            <w:tcBorders>
              <w:top w:val="single" w:sz="4" w:color="C9A227"/>
              <w:left w:val="single" w:sz="4" w:color="C9A227"/>
              <w:bottom w:val="single" w:sz="4" w:color="C9A227"/>
              <w:right w:val="single" w:sz="4" w:color="C9A227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场次</w:t>
            </w:r>
          </w:p>
        </w:tc>
        <w:tc>
          <w:tcPr>
            <w:tcW w:type="dxa" w:w="1984"/>
            <w:shd w:fill="0E2240" w:val="clear"/>
            <w:tcBorders>
              <w:top w:val="single" w:sz="4" w:color="C9A227"/>
              <w:left w:val="single" w:sz="4" w:color="C9A227"/>
              <w:bottom w:val="single" w:sz="4" w:color="C9A227"/>
              <w:right w:val="single" w:sz="4" w:color="C9A227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时间窗</w:t>
            </w:r>
          </w:p>
        </w:tc>
        <w:tc>
          <w:tcPr>
            <w:tcW w:type="dxa" w:w="4252"/>
            <w:shd w:fill="0E2240" w:val="clear"/>
            <w:tcBorders>
              <w:top w:val="single" w:sz="4" w:color="C9A227"/>
              <w:left w:val="single" w:sz="4" w:color="C9A227"/>
              <w:bottom w:val="single" w:sz="4" w:color="C9A227"/>
              <w:right w:val="single" w:sz="4" w:color="C9A227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启动 E</w:t>
            </w:r>
          </w:p>
        </w:tc>
        <w:tc>
          <w:tcPr>
            <w:tcW w:type="dxa" w:w="1134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5</w:t>
            </w:r>
          </w:p>
        </w:tc>
        <w:tc>
          <w:tcPr>
            <w:tcW w:type="dxa" w:w="1984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8 月点火</w:t>
            </w:r>
          </w:p>
        </w:tc>
        <w:tc>
          <w:tcPr>
            <w:tcW w:type="dxa" w:w="4252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赛道切换、渠道、金融、政府、进博承接</w:t>
            </w:r>
          </w:p>
        </w:tc>
      </w:tr>
      <w:tr>
        <w:tc>
          <w:tcPr>
            <w:tcW w:type="dxa" w:w="226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智能建造 A</w:t>
            </w:r>
          </w:p>
        </w:tc>
        <w:tc>
          <w:tcPr>
            <w:tcW w:type="dxa" w:w="1134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7</w:t>
            </w:r>
          </w:p>
        </w:tc>
        <w:tc>
          <w:tcPr>
            <w:tcW w:type="dxa" w:w="1984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全年能力线</w:t>
            </w:r>
          </w:p>
        </w:tc>
        <w:tc>
          <w:tcPr>
            <w:tcW w:type="dxa" w:w="4252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机器人、模块化、零碳、测绘、黑客松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政策 B</w:t>
            </w:r>
          </w:p>
        </w:tc>
        <w:tc>
          <w:tcPr>
            <w:tcW w:type="dxa" w:w="1134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4</w:t>
            </w:r>
          </w:p>
        </w:tc>
        <w:tc>
          <w:tcPr>
            <w:tcW w:type="dxa" w:w="1984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申报入口</w:t>
            </w:r>
          </w:p>
        </w:tc>
        <w:tc>
          <w:tcPr>
            <w:tcW w:type="dxa" w:w="4252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高新、创新券、YOUNG立方、冲刺营</w:t>
            </w:r>
          </w:p>
        </w:tc>
      </w:tr>
      <w:tr>
        <w:tc>
          <w:tcPr>
            <w:tcW w:type="dxa" w:w="226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出海准备 C</w:t>
            </w:r>
          </w:p>
        </w:tc>
        <w:tc>
          <w:tcPr>
            <w:tcW w:type="dxa" w:w="1134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6</w:t>
            </w:r>
          </w:p>
        </w:tc>
        <w:tc>
          <w:tcPr>
            <w:tcW w:type="dxa" w:w="1984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国内可交付</w:t>
            </w:r>
          </w:p>
        </w:tc>
        <w:tc>
          <w:tcPr>
            <w:tcW w:type="dxa" w:w="4252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案例、高校、华东华南、产业地图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展示 D</w:t>
            </w:r>
          </w:p>
        </w:tc>
        <w:tc>
          <w:tcPr>
            <w:tcW w:type="dxa" w:w="1134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5</w:t>
            </w:r>
          </w:p>
        </w:tc>
        <w:tc>
          <w:tcPr>
            <w:tcW w:type="dxa" w:w="1984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空间产品化</w:t>
            </w:r>
          </w:p>
        </w:tc>
        <w:tc>
          <w:tcPr>
            <w:tcW w:type="dxa" w:w="4252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500㎡展厅、白皮书、研学、联展</w:t>
            </w:r>
          </w:p>
        </w:tc>
      </w:tr>
      <w:tr>
        <w:tc>
          <w:tcPr>
            <w:tcW w:type="dxa" w:w="226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收官 F</w:t>
            </w:r>
          </w:p>
        </w:tc>
        <w:tc>
          <w:tcPr>
            <w:tcW w:type="dxa" w:w="1134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3</w:t>
            </w:r>
          </w:p>
        </w:tc>
        <w:tc>
          <w:tcPr>
            <w:tcW w:type="dxa" w:w="1984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可核验</w:t>
            </w:r>
          </w:p>
        </w:tc>
        <w:tc>
          <w:tcPr>
            <w:tcW w:type="dxa" w:w="4252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Demo Day、圆桌、年终验收</w:t>
            </w:r>
          </w:p>
        </w:tc>
      </w:tr>
    </w:tbl>
    <w:p/>
    <w:p>
      <w:pPr>
        <w:spacing w:after="160" w:before="0" w:lineRule="auto" w:line="307"/>
        <w:jc w:val="left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合计 30 场。原 ChinaJoy 内容主线不再作为年度叙事；科技能力保留为智能建造的工具，而不是园区主业。</w:t>
      </w:r>
    </w:p>
    <w:p>
      <w:pPr>
        <w:spacing w:after="120" w:before="240" w:lineRule="auto" w:line="307"/>
        <w:jc w:val="left"/>
      </w:pPr>
      <w:r>
        <w:rPr>
          <w:rFonts w:ascii="微软雅黑" w:hAnsi="微软雅黑" w:eastAsia="微软雅黑" w:cs="微软雅黑"/>
          <w:b/>
          <w:color w:val="1F6B5C"/>
          <w:sz w:val="26"/>
        </w:rPr>
        <w:t>4.3 逐场排期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134"/>
            <w:shd w:fill="0E2240" w:val="clear"/>
            <w:tcBorders>
              <w:top w:val="single" w:sz="4" w:color="C9A227"/>
              <w:left w:val="single" w:sz="4" w:color="C9A227"/>
              <w:bottom w:val="single" w:sz="4" w:color="C9A227"/>
              <w:right w:val="single" w:sz="4" w:color="C9A227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361"/>
            <w:shd w:fill="0E2240" w:val="clear"/>
            <w:tcBorders>
              <w:top w:val="single" w:sz="4" w:color="C9A227"/>
              <w:left w:val="single" w:sz="4" w:color="C9A227"/>
              <w:bottom w:val="single" w:sz="4" w:color="C9A227"/>
              <w:right w:val="single" w:sz="4" w:color="C9A227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月份</w:t>
            </w:r>
          </w:p>
        </w:tc>
        <w:tc>
          <w:tcPr>
            <w:tcW w:type="dxa" w:w="1361"/>
            <w:shd w:fill="0E2240" w:val="clear"/>
            <w:tcBorders>
              <w:top w:val="single" w:sz="4" w:color="C9A227"/>
              <w:left w:val="single" w:sz="4" w:color="C9A227"/>
              <w:bottom w:val="single" w:sz="4" w:color="C9A227"/>
              <w:right w:val="single" w:sz="4" w:color="C9A227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线条</w:t>
            </w:r>
          </w:p>
        </w:tc>
        <w:tc>
          <w:tcPr>
            <w:tcW w:type="dxa" w:w="3175"/>
            <w:shd w:fill="0E2240" w:val="clear"/>
            <w:tcBorders>
              <w:top w:val="single" w:sz="4" w:color="C9A227"/>
              <w:left w:val="single" w:sz="4" w:color="C9A227"/>
              <w:bottom w:val="single" w:sz="4" w:color="C9A227"/>
              <w:right w:val="single" w:sz="4" w:color="C9A227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活动名称</w:t>
            </w:r>
          </w:p>
        </w:tc>
        <w:tc>
          <w:tcPr>
            <w:tcW w:type="dxa" w:w="2608"/>
            <w:shd w:fill="0E2240" w:val="clear"/>
            <w:tcBorders>
              <w:top w:val="single" w:sz="4" w:color="C9A227"/>
              <w:left w:val="single" w:sz="4" w:color="C9A227"/>
              <w:bottom w:val="single" w:sz="4" w:color="C9A227"/>
              <w:right w:val="single" w:sz="4" w:color="C9A227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本场作用</w:t>
            </w:r>
          </w:p>
        </w:tc>
      </w:tr>
      <w:tr>
        <w:tc>
          <w:tcPr>
            <w:tcW w:type="dxa" w:w="1134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E1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2026.08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启动</w:t>
            </w:r>
          </w:p>
        </w:tc>
        <w:tc>
          <w:tcPr>
            <w:tcW w:type="dxa" w:w="3175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赛道切换说明会 · 园区开放日</w:t>
            </w:r>
          </w:p>
        </w:tc>
        <w:tc>
          <w:tcPr>
            <w:tcW w:type="dxa" w:w="260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把新方向讲清楚，完成主业匹配叙事</w:t>
            </w:r>
          </w:p>
        </w:tc>
      </w:tr>
      <w:tr>
        <w:tc>
          <w:tcPr>
            <w:tcW w:type="dxa" w:w="1134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E2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2026.08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启动</w:t>
            </w:r>
          </w:p>
        </w:tc>
        <w:tc>
          <w:tcPr>
            <w:tcW w:type="dxa" w:w="3175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中介渠道推广日（建造 / 园区）</w:t>
            </w:r>
          </w:p>
        </w:tc>
        <w:tc>
          <w:tcPr>
            <w:tcW w:type="dxa" w:w="260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点火带客，不谈租金对赌</w:t>
            </w:r>
          </w:p>
        </w:tc>
      </w:tr>
      <w:tr>
        <w:tc>
          <w:tcPr>
            <w:tcW w:type="dxa" w:w="1134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E3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2026.08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启动</w:t>
            </w:r>
          </w:p>
        </w:tc>
        <w:tc>
          <w:tcPr>
            <w:tcW w:type="dxa" w:w="3175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五大行与资管对接日</w:t>
            </w:r>
          </w:p>
        </w:tc>
        <w:tc>
          <w:tcPr>
            <w:tcW w:type="dxa" w:w="260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面对施工企业支付能力弱的现实，先找金融出口</w:t>
            </w:r>
          </w:p>
        </w:tc>
      </w:tr>
      <w:tr>
        <w:tc>
          <w:tcPr>
            <w:tcW w:type="dxa" w:w="1134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E4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2026.08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启动</w:t>
            </w:r>
          </w:p>
        </w:tc>
        <w:tc>
          <w:tcPr>
            <w:tcW w:type="dxa" w:w="3175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政府部门与载体沟通日</w:t>
            </w:r>
          </w:p>
        </w:tc>
        <w:tc>
          <w:tcPr>
            <w:tcW w:type="dxa" w:w="260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确认「科技赋能建筑」政策包装</w:t>
            </w:r>
          </w:p>
        </w:tc>
      </w:tr>
      <w:tr>
        <w:tc>
          <w:tcPr>
            <w:tcW w:type="dxa" w:w="1134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E5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2026.08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启动</w:t>
            </w:r>
          </w:p>
        </w:tc>
        <w:tc>
          <w:tcPr>
            <w:tcW w:type="dxa" w:w="3175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进博绿色建造成果承接交流日</w:t>
            </w:r>
          </w:p>
        </w:tc>
        <w:tc>
          <w:tcPr>
            <w:tcW w:type="dxa" w:w="260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借势施工机器人 + 绿色低碳，不替代年包出海</w:t>
            </w:r>
          </w:p>
        </w:tc>
      </w:tr>
      <w:tr>
        <w:tc>
          <w:tcPr>
            <w:tcW w:type="dxa" w:w="1134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A1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2026.09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智能建造</w:t>
            </w:r>
          </w:p>
        </w:tc>
        <w:tc>
          <w:tcPr>
            <w:tcW w:type="dxa" w:w="3175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施工机器人与智能装备一日营</w:t>
            </w:r>
          </w:p>
        </w:tc>
        <w:tc>
          <w:tcPr>
            <w:tcW w:type="dxa" w:w="260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3F 能力线：装备可见、可体验</w:t>
            </w:r>
          </w:p>
        </w:tc>
      </w:tr>
      <w:tr>
        <w:tc>
          <w:tcPr>
            <w:tcW w:type="dxa" w:w="1134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C1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2026.09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出海准备</w:t>
            </w:r>
          </w:p>
        </w:tc>
        <w:tc>
          <w:tcPr>
            <w:tcW w:type="dxa" w:w="3175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东南亚模块化建筑案例沙龙（国内场）</w:t>
            </w:r>
          </w:p>
        </w:tc>
        <w:tc>
          <w:tcPr>
            <w:tcW w:type="dxa" w:w="260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讲案例与供应链，不含领事</w:t>
            </w:r>
          </w:p>
        </w:tc>
      </w:tr>
      <w:tr>
        <w:tc>
          <w:tcPr>
            <w:tcW w:type="dxa" w:w="1134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B1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2026.09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政策</w:t>
            </w:r>
          </w:p>
        </w:tc>
        <w:tc>
          <w:tcPr>
            <w:tcW w:type="dxa" w:w="3175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智能建造企业高新认定路径沙龙</w:t>
            </w:r>
          </w:p>
        </w:tc>
        <w:tc>
          <w:tcPr>
            <w:tcW w:type="dxa" w:w="260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经营范围写入智能施工 / 绿色节能</w:t>
            </w:r>
          </w:p>
        </w:tc>
      </w:tr>
      <w:tr>
        <w:tc>
          <w:tcPr>
            <w:tcW w:type="dxa" w:w="1134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A2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2026.10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智能建造</w:t>
            </w:r>
          </w:p>
        </w:tc>
        <w:tc>
          <w:tcPr>
            <w:tcW w:type="dxa" w:w="3175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模块化 / 装配式建筑工作坊</w:t>
            </w:r>
          </w:p>
        </w:tc>
        <w:tc>
          <w:tcPr>
            <w:tcW w:type="dxa" w:w="260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可出口产品与就地建厂逻辑</w:t>
            </w:r>
          </w:p>
        </w:tc>
      </w:tr>
      <w:tr>
        <w:tc>
          <w:tcPr>
            <w:tcW w:type="dxa" w:w="1134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D1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2026.10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展示</w:t>
            </w:r>
          </w:p>
        </w:tc>
        <w:tc>
          <w:tcPr>
            <w:tcW w:type="dxa" w:w="3175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500㎡ 出海展厅共创工作坊</w:t>
            </w:r>
          </w:p>
        </w:tc>
        <w:tc>
          <w:tcPr>
            <w:tcW w:type="dxa" w:w="260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把展陈从概念落到平面</w:t>
            </w:r>
          </w:p>
        </w:tc>
      </w:tr>
      <w:tr>
        <w:tc>
          <w:tcPr>
            <w:tcW w:type="dxa" w:w="1134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B2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2026.10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政策</w:t>
            </w:r>
          </w:p>
        </w:tc>
        <w:tc>
          <w:tcPr>
            <w:tcW w:type="dxa" w:w="3175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创新券与数字化设计工具沙龙</w:t>
            </w:r>
          </w:p>
        </w:tc>
        <w:tc>
          <w:tcPr>
            <w:tcW w:type="dxa" w:w="260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服中心作为服务机构的入口</w:t>
            </w:r>
          </w:p>
        </w:tc>
      </w:tr>
      <w:tr>
        <w:tc>
          <w:tcPr>
            <w:tcW w:type="dxa" w:w="1134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A3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2026.11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智能建造</w:t>
            </w:r>
          </w:p>
        </w:tc>
        <w:tc>
          <w:tcPr>
            <w:tcW w:type="dxa" w:w="3175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绿色低碳与零碳工地实务营</w:t>
            </w:r>
          </w:p>
        </w:tc>
        <w:tc>
          <w:tcPr>
            <w:tcW w:type="dxa" w:w="260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对接进博观察与越秀研学思路</w:t>
            </w:r>
          </w:p>
        </w:tc>
      </w:tr>
      <w:tr>
        <w:tc>
          <w:tcPr>
            <w:tcW w:type="dxa" w:w="1134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B3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2026.11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政策</w:t>
            </w:r>
          </w:p>
        </w:tc>
        <w:tc>
          <w:tcPr>
            <w:tcW w:type="dxa" w:w="3175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YOUNG立方 · 智能建造政策沙龙</w:t>
            </w:r>
          </w:p>
        </w:tc>
        <w:tc>
          <w:tcPr>
            <w:tcW w:type="dxa" w:w="260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活动经费申报的合规场次</w:t>
            </w:r>
          </w:p>
        </w:tc>
      </w:tr>
      <w:tr>
        <w:tc>
          <w:tcPr>
            <w:tcW w:type="dxa" w:w="1134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A4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2026.12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智能建造</w:t>
            </w:r>
          </w:p>
        </w:tc>
        <w:tc>
          <w:tcPr>
            <w:tcW w:type="dxa" w:w="3175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智能测绘与数字设计对接</w:t>
            </w:r>
          </w:p>
        </w:tc>
        <w:tc>
          <w:tcPr>
            <w:tcW w:type="dxa" w:w="260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同济设计资源协同，不替代复旦住房政策线</w:t>
            </w:r>
          </w:p>
        </w:tc>
      </w:tr>
      <w:tr>
        <w:tc>
          <w:tcPr>
            <w:tcW w:type="dxa" w:w="1134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D2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2026.12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展示</w:t>
            </w:r>
          </w:p>
        </w:tc>
        <w:tc>
          <w:tcPr>
            <w:tcW w:type="dxa" w:w="3175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行业白皮书开题沙龙</w:t>
            </w:r>
          </w:p>
        </w:tc>
        <w:tc>
          <w:tcPr>
            <w:tcW w:type="dxa" w:w="260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联合复旦形成可传播文本</w:t>
            </w:r>
          </w:p>
        </w:tc>
      </w:tr>
      <w:tr>
        <w:tc>
          <w:tcPr>
            <w:tcW w:type="dxa" w:w="1134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F1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2026.12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收官</w:t>
            </w:r>
          </w:p>
        </w:tc>
        <w:tc>
          <w:tcPr>
            <w:tcW w:type="dxa" w:w="3175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智能建造年度 Demo Day</w:t>
            </w:r>
          </w:p>
        </w:tc>
        <w:tc>
          <w:tcPr>
            <w:tcW w:type="dxa" w:w="260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年度成果可核验</w:t>
            </w:r>
          </w:p>
        </w:tc>
      </w:tr>
      <w:tr>
        <w:tc>
          <w:tcPr>
            <w:tcW w:type="dxa" w:w="1134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A5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2027.01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智能建造</w:t>
            </w:r>
          </w:p>
        </w:tc>
        <w:tc>
          <w:tcPr>
            <w:tcW w:type="dxa" w:w="3175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建筑机器人场景体验日</w:t>
            </w:r>
          </w:p>
        </w:tc>
        <w:tc>
          <w:tcPr>
            <w:tcW w:type="dxa" w:w="260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3F 体验与招商转化</w:t>
            </w:r>
          </w:p>
        </w:tc>
      </w:tr>
      <w:tr>
        <w:tc>
          <w:tcPr>
            <w:tcW w:type="dxa" w:w="1134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C2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2027.01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出海准备</w:t>
            </w:r>
          </w:p>
        </w:tc>
        <w:tc>
          <w:tcPr>
            <w:tcW w:type="dxa" w:w="3175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高校成果转化 · 智能建造</w:t>
            </w:r>
          </w:p>
        </w:tc>
        <w:tc>
          <w:tcPr>
            <w:tcW w:type="dxa" w:w="260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复旦住房政策 + 同济设计双校协同</w:t>
            </w:r>
          </w:p>
        </w:tc>
      </w:tr>
      <w:tr>
        <w:tc>
          <w:tcPr>
            <w:tcW w:type="dxa" w:w="1134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B4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2027.02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政策</w:t>
            </w:r>
          </w:p>
        </w:tc>
        <w:tc>
          <w:tcPr>
            <w:tcW w:type="dxa" w:w="3175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高企认定冲刺（智能施工专场）</w:t>
            </w:r>
          </w:p>
        </w:tc>
        <w:tc>
          <w:tcPr>
            <w:tcW w:type="dxa" w:w="260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企业自行申报，服中心辅导不承诺获批</w:t>
            </w:r>
          </w:p>
        </w:tc>
      </w:tr>
      <w:tr>
        <w:tc>
          <w:tcPr>
            <w:tcW w:type="dxa" w:w="1134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D3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2027.02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展示</w:t>
            </w:r>
          </w:p>
        </w:tc>
        <w:tc>
          <w:tcPr>
            <w:tcW w:type="dxa" w:w="3175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零碳体验馆研学方案工作坊</w:t>
            </w:r>
          </w:p>
        </w:tc>
        <w:tc>
          <w:tcPr>
            <w:tcW w:type="dxa" w:w="260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中小学生研学运营模型</w:t>
            </w:r>
          </w:p>
        </w:tc>
      </w:tr>
      <w:tr>
        <w:tc>
          <w:tcPr>
            <w:tcW w:type="dxa" w:w="1134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A6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2027.03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智能建造</w:t>
            </w:r>
          </w:p>
        </w:tc>
        <w:tc>
          <w:tcPr>
            <w:tcW w:type="dxa" w:w="3175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建造科技黑客松（OPC 超级个体）</w:t>
            </w:r>
          </w:p>
        </w:tc>
        <w:tc>
          <w:tcPr>
            <w:tcW w:type="dxa" w:w="260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保留科技社群带流，服务于新赛道</w:t>
            </w:r>
          </w:p>
        </w:tc>
      </w:tr>
      <w:tr>
        <w:tc>
          <w:tcPr>
            <w:tcW w:type="dxa" w:w="1134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C3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2027.03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出海准备</w:t>
            </w:r>
          </w:p>
        </w:tc>
        <w:tc>
          <w:tcPr>
            <w:tcW w:type="dxa" w:w="3175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华东智能设计产业集群对接</w:t>
            </w:r>
          </w:p>
        </w:tc>
        <w:tc>
          <w:tcPr>
            <w:tcW w:type="dxa" w:w="260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华东产能与设计优势</w:t>
            </w:r>
          </w:p>
        </w:tc>
      </w:tr>
      <w:tr>
        <w:tc>
          <w:tcPr>
            <w:tcW w:type="dxa" w:w="1134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F2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2027.03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收官</w:t>
            </w:r>
          </w:p>
        </w:tc>
        <w:tc>
          <w:tcPr>
            <w:tcW w:type="dxa" w:w="3175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通往海外订单季度圆桌（国内）</w:t>
            </w:r>
          </w:p>
        </w:tc>
        <w:tc>
          <w:tcPr>
            <w:tcW w:type="dxa" w:w="260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订单逻辑研讨，领事另计价</w:t>
            </w:r>
          </w:p>
        </w:tc>
      </w:tr>
      <w:tr>
        <w:tc>
          <w:tcPr>
            <w:tcW w:type="dxa" w:w="1134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C4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2027.04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出海准备</w:t>
            </w:r>
          </w:p>
        </w:tc>
        <w:tc>
          <w:tcPr>
            <w:tcW w:type="dxa" w:w="3175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华南制造基地联动对接</w:t>
            </w:r>
          </w:p>
        </w:tc>
        <w:tc>
          <w:tcPr>
            <w:tcW w:type="dxa" w:w="260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华东设计 × 华南制造</w:t>
            </w:r>
          </w:p>
        </w:tc>
      </w:tr>
      <w:tr>
        <w:tc>
          <w:tcPr>
            <w:tcW w:type="dxa" w:w="1134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D4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2027.04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展示</w:t>
            </w:r>
          </w:p>
        </w:tc>
        <w:tc>
          <w:tcPr>
            <w:tcW w:type="dxa" w:w="3175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新材料与绿色建材联展</w:t>
            </w:r>
          </w:p>
        </w:tc>
        <w:tc>
          <w:tcPr>
            <w:tcW w:type="dxa" w:w="260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5F 展陈轮换</w:t>
            </w:r>
          </w:p>
        </w:tc>
      </w:tr>
      <w:tr>
        <w:tc>
          <w:tcPr>
            <w:tcW w:type="dxa" w:w="1134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C5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2027.05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出海准备</w:t>
            </w:r>
          </w:p>
        </w:tc>
        <w:tc>
          <w:tcPr>
            <w:tcW w:type="dxa" w:w="3175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专精特新 · 建造科技路演</w:t>
            </w:r>
          </w:p>
        </w:tc>
        <w:tc>
          <w:tcPr>
            <w:tcW w:type="dxa" w:w="260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申报奖项节奏的企业侧入口</w:t>
            </w:r>
          </w:p>
        </w:tc>
      </w:tr>
      <w:tr>
        <w:tc>
          <w:tcPr>
            <w:tcW w:type="dxa" w:w="1134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D5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2027.05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展示</w:t>
            </w:r>
          </w:p>
        </w:tc>
        <w:tc>
          <w:tcPr>
            <w:tcW w:type="dxa" w:w="3175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展厅内容迭代与市集体验日</w:t>
            </w:r>
          </w:p>
        </w:tc>
        <w:tc>
          <w:tcPr>
            <w:tcW w:type="dxa" w:w="260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人气场，≤30 人核验口径</w:t>
            </w:r>
          </w:p>
        </w:tc>
      </w:tr>
      <w:tr>
        <w:tc>
          <w:tcPr>
            <w:tcW w:type="dxa" w:w="1134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C6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2027.06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出海准备</w:t>
            </w:r>
          </w:p>
        </w:tc>
        <w:tc>
          <w:tcPr>
            <w:tcW w:type="dxa" w:w="3175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一带一路目标国产业地图沙龙</w:t>
            </w:r>
          </w:p>
        </w:tc>
        <w:tc>
          <w:tcPr>
            <w:tcW w:type="dxa" w:w="260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城市化率&lt;50% 国家研究场</w:t>
            </w:r>
          </w:p>
        </w:tc>
      </w:tr>
      <w:tr>
        <w:tc>
          <w:tcPr>
            <w:tcW w:type="dxa" w:w="1134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A7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2027.06</w:t>
            </w:r>
          </w:p>
        </w:tc>
        <w:tc>
          <w:tcPr>
            <w:tcW w:type="dxa" w:w="136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智能建造</w:t>
            </w:r>
          </w:p>
        </w:tc>
        <w:tc>
          <w:tcPr>
            <w:tcW w:type="dxa" w:w="3175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智能建造与智能家居交叉应用营</w:t>
            </w:r>
          </w:p>
        </w:tc>
        <w:tc>
          <w:tcPr>
            <w:tcW w:type="dxa" w:w="260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产品出口与场景验证</w:t>
            </w:r>
          </w:p>
        </w:tc>
      </w:tr>
      <w:tr>
        <w:tc>
          <w:tcPr>
            <w:tcW w:type="dxa" w:w="1134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F3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2027.07</w:t>
            </w:r>
          </w:p>
        </w:tc>
        <w:tc>
          <w:tcPr>
            <w:tcW w:type="dxa" w:w="136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收官</w:t>
            </w:r>
          </w:p>
        </w:tc>
        <w:tc>
          <w:tcPr>
            <w:tcW w:type="dxa" w:w="3175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年度收官 · 下一年度预热圆桌</w:t>
            </w:r>
          </w:p>
        </w:tc>
        <w:tc>
          <w:tcPr>
            <w:tcW w:type="dxa" w:w="260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验收 30 场 + 预热 2027</w:t>
            </w:r>
          </w:p>
        </w:tc>
      </w:tr>
    </w:tbl>
    <w:p/>
    <w:p>
      <w:pPr>
        <w:spacing w:after="120" w:before="240" w:lineRule="auto" w:line="307"/>
        <w:jc w:val="left"/>
      </w:pPr>
      <w:r>
        <w:rPr>
          <w:rFonts w:ascii="微软雅黑" w:hAnsi="微软雅黑" w:eastAsia="微软雅黑" w:cs="微软雅黑"/>
          <w:b/>
          <w:color w:val="1F6B5C"/>
          <w:sz w:val="26"/>
        </w:rPr>
        <w:t>4.4 单场标准与转化闭环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执行节奏：T-14 策划邀约 → T-7 确认名单 → T-1 场地物料 → D 日执行 → T+1~7 建群 / 回访摘要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转化闭环：到场 → 建群 → 看场 → 同浦汇回访 → 园区销售促成 → 复盘回流下一场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交付物：方案、签到、现场执行、月报；回访只交摘要知会，不要求园区逐户回访</w:t>
      </w:r>
    </w:p>
    <w:p>
      <w:pPr>
        <w:spacing w:after="160" w:before="0" w:lineRule="auto" w:line="307"/>
        <w:ind w:firstLine="420"/>
        <w:jc w:val="both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同浦汇在闭环中多承担客户跟踪和回访台账；服中心重心放在下一场策划与现场。回访纪要只向园区交摘要知会，不要求园区逐户回访，也不再使用「关联度 100% 核验表」。</w:t>
      </w:r>
    </w:p>
    <w:p>
      <w:pPr>
        <w:spacing w:after="120" w:before="240" w:lineRule="auto" w:line="307"/>
        <w:jc w:val="left"/>
      </w:pPr>
      <w:r>
        <w:rPr>
          <w:rFonts w:ascii="微软雅黑" w:hAnsi="微软雅黑" w:eastAsia="微软雅黑" w:cs="微软雅黑"/>
          <w:b/>
          <w:color w:val="1F6B5C"/>
          <w:sz w:val="26"/>
        </w:rPr>
        <w:t>4.5 不进年包的加购项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fill="0E2240" w:val="clear"/>
            <w:tcBorders>
              <w:top w:val="single" w:sz="4" w:color="C9A227"/>
              <w:left w:val="single" w:sz="4" w:color="C9A227"/>
              <w:bottom w:val="single" w:sz="4" w:color="C9A227"/>
              <w:right w:val="single" w:sz="4" w:color="C9A227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685"/>
            <w:shd w:fill="0E2240" w:val="clear"/>
            <w:tcBorders>
              <w:top w:val="single" w:sz="4" w:color="C9A227"/>
              <w:left w:val="single" w:sz="4" w:color="C9A227"/>
              <w:bottom w:val="single" w:sz="4" w:color="C9A227"/>
              <w:right w:val="single" w:sz="4" w:color="C9A227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685"/>
            <w:shd w:fill="0E2240" w:val="clear"/>
            <w:tcBorders>
              <w:top w:val="single" w:sz="4" w:color="C9A227"/>
              <w:left w:val="single" w:sz="4" w:color="C9A227"/>
              <w:bottom w:val="single" w:sz="4" w:color="C9A227"/>
              <w:right w:val="single" w:sz="4" w:color="C9A227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计价原则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出海专题执行</w:t>
            </w:r>
          </w:p>
        </w:tc>
        <w:tc>
          <w:tcPr>
            <w:tcW w:type="dxa" w:w="3685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境外对接、订单撮合、海外考察</w:t>
            </w:r>
          </w:p>
        </w:tc>
        <w:tc>
          <w:tcPr>
            <w:tcW w:type="dxa" w:w="3685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10–20 万/场次或专项，一事一议</w:t>
            </w:r>
          </w:p>
        </w:tc>
      </w:tr>
      <w:tr>
        <w:tc>
          <w:tcPr>
            <w:tcW w:type="dxa" w:w="226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领事到访接待</w:t>
            </w:r>
          </w:p>
        </w:tc>
        <w:tc>
          <w:tcPr>
            <w:tcW w:type="dxa" w:w="3685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驻沪领馆匹配目标国</w:t>
            </w:r>
          </w:p>
        </w:tc>
        <w:tc>
          <w:tcPr>
            <w:tcW w:type="dxa" w:w="3685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按场次另计价，与挂牌分开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挂牌仪式</w:t>
            </w:r>
          </w:p>
        </w:tc>
        <w:tc>
          <w:tcPr>
            <w:tcW w:type="dxa" w:w="3685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服中心 / 复旦战略合作授牌</w:t>
            </w:r>
          </w:p>
        </w:tc>
        <w:tc>
          <w:tcPr>
            <w:tcW w:type="dxa" w:w="3685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3 万/个起，挂牌≠领事活动</w:t>
            </w:r>
          </w:p>
        </w:tc>
      </w:tr>
      <w:tr>
        <w:tc>
          <w:tcPr>
            <w:tcW w:type="dxa" w:w="226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战略签约大会升级</w:t>
            </w:r>
          </w:p>
        </w:tc>
        <w:tc>
          <w:tcPr>
            <w:tcW w:type="dxa" w:w="3685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媒体、会场、嘉宾规格升级</w:t>
            </w:r>
          </w:p>
        </w:tc>
        <w:tc>
          <w:tcPr>
            <w:tcW w:type="dxa" w:w="3685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在预热沙龙之外另报价</w:t>
            </w:r>
          </w:p>
        </w:tc>
      </w:tr>
    </w:tbl>
    <w:p/>
    <w:p>
      <w:pPr>
        <w:spacing w:after="200" w:before="320" w:lineRule="auto" w:line="307"/>
        <w:jc w:val="left"/>
        <w:pBdr>
          <w:bottom w:val="single" w:sz="12" w:space="4" w:color="C9A227"/>
        </w:pBdr>
      </w:pPr>
      <w:r>
        <w:rPr>
          <w:rFonts w:ascii="微软雅黑" w:hAnsi="微软雅黑" w:eastAsia="微软雅黑" w:cs="微软雅黑"/>
          <w:b/>
          <w:color w:val="0E2240"/>
          <w:sz w:val="32"/>
        </w:rPr>
        <w:t>五、工作包 B：科技企业服务中心筹备</w:t>
      </w:r>
    </w:p>
    <w:p>
      <w:pPr>
        <w:spacing w:after="120" w:before="240" w:lineRule="auto" w:line="307"/>
        <w:jc w:val="left"/>
      </w:pPr>
      <w:r>
        <w:rPr>
          <w:rFonts w:ascii="微软雅黑" w:hAnsi="微软雅黑" w:eastAsia="微软雅黑" w:cs="微软雅黑"/>
          <w:b/>
          <w:color w:val="1F6B5C"/>
          <w:sz w:val="26"/>
        </w:rPr>
        <w:t>5.1 筹备目标</w:t>
      </w:r>
    </w:p>
    <w:p>
      <w:pPr>
        <w:spacing w:after="160" w:before="0" w:lineRule="auto" w:line="307"/>
        <w:ind w:firstLine="420"/>
        <w:jc w:val="both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90 天内，把「上海市杨浦区科技企业服务中心」在创智汇做成可挂牌、可辅导、可申报的服务入口。挂牌仪式另计价；筹备过程不另向同浦汇收取费用。政策收益按第八章分成。</w:t>
      </w:r>
    </w:p>
    <w:p>
      <w:pPr>
        <w:spacing w:after="120" w:before="240" w:lineRule="auto" w:line="307"/>
        <w:jc w:val="left"/>
      </w:pPr>
      <w:r>
        <w:rPr>
          <w:rFonts w:ascii="微软雅黑" w:hAnsi="微软雅黑" w:eastAsia="微软雅黑" w:cs="微软雅黑"/>
          <w:b/>
          <w:color w:val="1F6B5C"/>
          <w:sz w:val="26"/>
        </w:rPr>
        <w:t>5.2 九十天节奏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701"/>
            <w:shd w:fill="0E2240" w:val="clear"/>
            <w:tcBorders>
              <w:top w:val="single" w:sz="4" w:color="C9A227"/>
              <w:left w:val="single" w:sz="4" w:color="C9A227"/>
              <w:bottom w:val="single" w:sz="4" w:color="C9A227"/>
              <w:right w:val="single" w:sz="4" w:color="C9A227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窗口</w:t>
            </w:r>
          </w:p>
        </w:tc>
        <w:tc>
          <w:tcPr>
            <w:tcW w:type="dxa" w:w="1984"/>
            <w:shd w:fill="0E2240" w:val="clear"/>
            <w:tcBorders>
              <w:top w:val="single" w:sz="4" w:color="C9A227"/>
              <w:left w:val="single" w:sz="4" w:color="C9A227"/>
              <w:bottom w:val="single" w:sz="4" w:color="C9A227"/>
              <w:right w:val="single" w:sz="4" w:color="C9A227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5953"/>
            <w:shd w:fill="0E2240" w:val="clear"/>
            <w:tcBorders>
              <w:top w:val="single" w:sz="4" w:color="C9A227"/>
              <w:left w:val="single" w:sz="4" w:color="C9A227"/>
              <w:bottom w:val="single" w:sz="4" w:color="C9A227"/>
              <w:right w:val="single" w:sz="4" w:color="C9A227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交付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D0–15</w:t>
            </w:r>
          </w:p>
        </w:tc>
        <w:tc>
          <w:tcPr>
            <w:tcW w:type="dxa" w:w="1984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叙事与主体</w:t>
            </w:r>
          </w:p>
        </w:tc>
        <w:tc>
          <w:tcPr>
            <w:tcW w:type="dxa" w:w="5953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统一新赛道一页纸；确认挂牌主体、2 人配置、创智汇接待位 / 500㎡ 展区界面</w:t>
            </w:r>
          </w:p>
        </w:tc>
      </w:tr>
      <w:tr>
        <w:tc>
          <w:tcPr>
            <w:tcW w:type="dxa" w:w="170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D16–45</w:t>
            </w:r>
          </w:p>
        </w:tc>
        <w:tc>
          <w:tcPr>
            <w:tcW w:type="dxa" w:w="1984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制度与申报</w:t>
            </w:r>
          </w:p>
        </w:tc>
        <w:tc>
          <w:tcPr>
            <w:tcW w:type="dxa" w:w="5953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服务制度、辅导 SOP、载体认定材料包、创新券机构申请、高新路径清单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D46–75</w:t>
            </w:r>
          </w:p>
        </w:tc>
        <w:tc>
          <w:tcPr>
            <w:tcW w:type="dxa" w:w="1984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产品化</w:t>
            </w:r>
          </w:p>
        </w:tc>
        <w:tc>
          <w:tcPr>
            <w:tcW w:type="dxa" w:w="5953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展陈大纲、零碳研学模型、白皮书开题、首批可辅导企业名单</w:t>
            </w:r>
          </w:p>
        </w:tc>
      </w:tr>
      <w:tr>
        <w:tc>
          <w:tcPr>
            <w:tcW w:type="dxa" w:w="1701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D76–90</w:t>
            </w:r>
          </w:p>
        </w:tc>
        <w:tc>
          <w:tcPr>
            <w:tcW w:type="dxa" w:w="1984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可过审包</w:t>
            </w:r>
          </w:p>
        </w:tc>
        <w:tc>
          <w:tcPr>
            <w:tcW w:type="dxa" w:w="5953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给审核方工程部门的初步方案、挂牌仪式报价（另计价）、Q4 场次点火</w:t>
            </w:r>
          </w:p>
        </w:tc>
      </w:tr>
    </w:tbl>
    <w:p/>
    <w:p>
      <w:pPr>
        <w:spacing w:after="120" w:before="240" w:lineRule="auto" w:line="307"/>
        <w:jc w:val="left"/>
      </w:pPr>
      <w:r>
        <w:rPr>
          <w:rFonts w:ascii="微软雅黑" w:hAnsi="微软雅黑" w:eastAsia="微软雅黑" w:cs="微软雅黑"/>
          <w:b/>
          <w:color w:val="1F6B5C"/>
          <w:sz w:val="26"/>
        </w:rPr>
        <w:t>5.3 空间产品化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fill="0E2240" w:val="clear"/>
            <w:tcBorders>
              <w:top w:val="single" w:sz="4" w:color="C9A227"/>
              <w:left w:val="single" w:sz="4" w:color="C9A227"/>
              <w:bottom w:val="single" w:sz="4" w:color="C9A227"/>
              <w:right w:val="single" w:sz="4" w:color="C9A227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空间</w:t>
            </w:r>
          </w:p>
        </w:tc>
        <w:tc>
          <w:tcPr>
            <w:tcW w:type="dxa" w:w="7370"/>
            <w:shd w:fill="0E2240" w:val="clear"/>
            <w:tcBorders>
              <w:top w:val="single" w:sz="4" w:color="C9A227"/>
              <w:left w:val="single" w:sz="4" w:color="C9A227"/>
              <w:bottom w:val="single" w:sz="4" w:color="C9A227"/>
              <w:right w:val="single" w:sz="4" w:color="C9A227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口径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项目</w:t>
            </w:r>
          </w:p>
        </w:tc>
        <w:tc>
          <w:tcPr>
            <w:tcW w:type="dxa" w:w="7370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创智汇（一期）　｜　上海 · 杨浦 · 五角场 · 创智天地　｜　约 6600㎡</w:t>
            </w:r>
          </w:p>
        </w:tc>
      </w:tr>
      <w:tr>
        <w:tc>
          <w:tcPr>
            <w:tcW w:type="dxa" w:w="226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3F</w:t>
            </w:r>
          </w:p>
        </w:tc>
        <w:tc>
          <w:tcPr>
            <w:tcW w:type="dxa" w:w="7370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约 2850㎡　孵化器 + 办公　→　智能建造办公、装备体验、辅导接待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5F</w:t>
            </w:r>
          </w:p>
        </w:tc>
        <w:tc>
          <w:tcPr>
            <w:tcW w:type="dxa" w:w="7370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约 3670㎡　展厅 + 贸易　→　出海展陈、模块化样品、新材料、培训沙龙</w:t>
            </w:r>
          </w:p>
        </w:tc>
      </w:tr>
      <w:tr>
        <w:tc>
          <w:tcPr>
            <w:tcW w:type="dxa" w:w="226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专题展区</w:t>
            </w:r>
          </w:p>
        </w:tc>
        <w:tc>
          <w:tcPr>
            <w:tcW w:type="dxa" w:w="7370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约 500㎡　建筑产业出海主题展示（会上口径）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租金 / 物业</w:t>
            </w:r>
          </w:p>
        </w:tc>
        <w:tc>
          <w:tcPr>
            <w:tcW w:type="dxa" w:w="7370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办公 3.3 元/㎡/天　｜　物业 13.8 元/㎡/月　｜　待租 8 间（沟通口径）</w:t>
            </w:r>
          </w:p>
        </w:tc>
      </w:tr>
    </w:tbl>
    <w:p/>
    <w:p>
      <w:pPr>
        <w:spacing w:after="160" w:before="0" w:lineRule="auto" w:line="307"/>
        <w:ind w:firstLine="420"/>
        <w:jc w:val="both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租金 3.3 元高于周边，故本承接方案不做租赁对赌、不做租赁必要性。建议园区给予 1–3 个月免租，由同浦汇与园区线下谈，不写入服中心对同浦汇的承诺。</w:t>
      </w:r>
    </w:p>
    <w:p>
      <w:pPr>
        <w:spacing w:after="120" w:before="240" w:lineRule="auto" w:line="307"/>
        <w:jc w:val="left"/>
      </w:pPr>
      <w:r>
        <w:rPr>
          <w:rFonts w:ascii="微软雅黑" w:hAnsi="微软雅黑" w:eastAsia="微软雅黑" w:cs="微软雅黑"/>
          <w:b/>
          <w:color w:val="1F6B5C"/>
          <w:sz w:val="26"/>
        </w:rPr>
        <w:t>5.4 政策适配（上限测算，非保证获批）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载体年上限：110 万（成果转化平台 ≤100 + 孵化基地 ≤10）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活动年上限：200 万（YOUNG立方，投入×50%，封顶 200；年包 30 万大约可对应申报约 15 万量级）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十年三部分合计上限：约 6920 万（上限测算，非保证获批）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前置条件：①项目成为经认定载体 / 成果转化服务平台　②服中心作为创新券服务机构</w:t>
      </w:r>
    </w:p>
    <w:p>
      <w:pPr>
        <w:spacing w:after="160" w:before="0" w:lineRule="auto" w:line="307"/>
        <w:ind w:firstLine="420"/>
        <w:jc w:val="both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对企业：引导将智能施工、绿色节能、数字化设计写入经营范围，自行申报高新技术企业；服中心提供辅导 SOP，成功费以到账为准。对品牌：联合复旦住房政策研究中心开题白皮书，战略合作签约与官方授牌作为加购。零碳体验馆可借鉴广州越秀路径，用中小学研学形成不完全依赖补贴的运营入口。</w:t>
      </w:r>
    </w:p>
    <w:p>
      <w:pPr>
        <w:spacing w:after="200" w:before="320" w:lineRule="auto" w:line="307"/>
        <w:jc w:val="left"/>
        <w:pBdr>
          <w:bottom w:val="single" w:sz="12" w:space="4" w:color="C9A227"/>
        </w:pBdr>
      </w:pPr>
      <w:r>
        <w:rPr>
          <w:rFonts w:ascii="微软雅黑" w:hAnsi="微软雅黑" w:eastAsia="微软雅黑" w:cs="微软雅黑"/>
          <w:b/>
          <w:color w:val="0E2240"/>
          <w:sz w:val="32"/>
        </w:rPr>
        <w:t>六、给审核方的三句口径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我们不是在招「付不起租金的施工队来租办公室」。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我们是在用科技企业服务中心，把智能建造产品、模块化建筑和绿色低碳能力组织成可出海的集群。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业主是杨浦科创集团；政府对接使用科技与产业服务口径，不以「中建」名义包装。</w:t>
      </w:r>
    </w:p>
    <w:p>
      <w:pPr>
        <w:spacing w:after="160" w:before="0" w:lineRule="auto" w:line="307"/>
        <w:ind w:firstLine="420"/>
        <w:jc w:val="both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这三句直接对应昨天会上最容易被误解的三点：行业支付能力、出海集群目标、名义风险。同浦汇转交材料时建议原样保留。</w:t>
      </w:r>
    </w:p>
    <w:p>
      <w:pPr>
        <w:spacing w:after="200" w:before="320" w:lineRule="auto" w:line="307"/>
        <w:jc w:val="left"/>
        <w:pBdr>
          <w:bottom w:val="single" w:sz="12" w:space="4" w:color="C9A227"/>
        </w:pBdr>
      </w:pPr>
      <w:r>
        <w:rPr>
          <w:rFonts w:ascii="微软雅黑" w:hAnsi="微软雅黑" w:eastAsia="微软雅黑" w:cs="微软雅黑"/>
          <w:b/>
          <w:color w:val="0E2240"/>
          <w:sz w:val="32"/>
        </w:rPr>
        <w:t>七、可核验指标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fill="0E2240" w:val="clear"/>
            <w:tcBorders>
              <w:top w:val="single" w:sz="4" w:color="C9A227"/>
              <w:left w:val="single" w:sz="4" w:color="C9A227"/>
              <w:bottom w:val="single" w:sz="4" w:color="C9A227"/>
              <w:right w:val="single" w:sz="4" w:color="C9A227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7370"/>
            <w:shd w:fill="0E2240" w:val="clear"/>
            <w:tcBorders>
              <w:top w:val="single" w:sz="4" w:color="C9A227"/>
              <w:left w:val="single" w:sz="4" w:color="C9A227"/>
              <w:bottom w:val="single" w:sz="4" w:color="C9A227"/>
              <w:right w:val="single" w:sz="4" w:color="C9A227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标准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场次</w:t>
            </w:r>
          </w:p>
        </w:tc>
        <w:tc>
          <w:tcPr>
            <w:tcW w:type="dxa" w:w="7370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12 个月内完成 30 场可核验活动</w:t>
            </w:r>
          </w:p>
        </w:tc>
      </w:tr>
      <w:tr>
        <w:tc>
          <w:tcPr>
            <w:tcW w:type="dxa" w:w="226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人数</w:t>
            </w:r>
          </w:p>
        </w:tc>
        <w:tc>
          <w:tcPr>
            <w:tcW w:type="dxa" w:w="7370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单场签到 ≤30 人，全年触达约 600+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月报</w:t>
            </w:r>
          </w:p>
        </w:tc>
        <w:tc>
          <w:tcPr>
            <w:tcW w:type="dxa" w:w="7370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每月 1 份，含名单摘要、照片、线索条数</w:t>
            </w:r>
          </w:p>
        </w:tc>
      </w:tr>
      <w:tr>
        <w:tc>
          <w:tcPr>
            <w:tcW w:type="dxa" w:w="226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服中心</w:t>
            </w:r>
          </w:p>
        </w:tc>
        <w:tc>
          <w:tcPr>
            <w:tcW w:type="dxa" w:w="7370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90 天内完成挂牌材料与制度包，具备申报条件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转化</w:t>
            </w:r>
          </w:p>
        </w:tc>
        <w:tc>
          <w:tcPr>
            <w:tcW w:type="dxa" w:w="7370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每场输出看场线索，由同浦汇回访、园区促成；不设租金对赌</w:t>
            </w:r>
          </w:p>
        </w:tc>
      </w:tr>
    </w:tbl>
    <w:p/>
    <w:p>
      <w:pPr>
        <w:spacing w:after="200" w:before="320" w:lineRule="auto" w:line="307"/>
        <w:jc w:val="left"/>
        <w:pBdr>
          <w:bottom w:val="single" w:sz="12" w:space="4" w:color="C9A227"/>
        </w:pBdr>
      </w:pPr>
      <w:r>
        <w:rPr>
          <w:rFonts w:ascii="微软雅黑" w:hAnsi="微软雅黑" w:eastAsia="微软雅黑" w:cs="微软雅黑"/>
          <w:b/>
          <w:color w:val="0E2240"/>
          <w:sz w:val="32"/>
        </w:rPr>
        <w:t>八、商务与内部结算</w:t>
      </w:r>
    </w:p>
    <w:p>
      <w:pPr>
        <w:spacing w:after="120" w:before="240" w:lineRule="auto" w:line="307"/>
        <w:jc w:val="left"/>
      </w:pPr>
      <w:r>
        <w:rPr>
          <w:rFonts w:ascii="微软雅黑" w:hAnsi="微软雅黑" w:eastAsia="微软雅黑" w:cs="微软雅黑"/>
          <w:b/>
          <w:color w:val="1F6B5C"/>
          <w:sz w:val="26"/>
        </w:rPr>
        <w:t>8.1 对园区</w:t>
      </w:r>
    </w:p>
    <w:p>
      <w:pPr>
        <w:spacing w:after="160" w:before="0" w:lineRule="auto" w:line="307"/>
        <w:jc w:val="left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活动年包 30 万元、付款节点、不做租金对赌等口径见第四章。招商佣金按 2 个月净租金（首年不重复），由园区销售闭环触发。</w:t>
      </w:r>
    </w:p>
    <w:p>
      <w:pPr>
        <w:spacing w:after="120" w:before="240" w:lineRule="auto" w:line="307"/>
        <w:jc w:val="left"/>
      </w:pPr>
      <w:r>
        <w:rPr>
          <w:rFonts w:ascii="微软雅黑" w:hAnsi="微软雅黑" w:eastAsia="微软雅黑" w:cs="微软雅黑"/>
          <w:b/>
          <w:color w:val="1F6B5C"/>
          <w:sz w:val="26"/>
        </w:rPr>
        <w:t>8.2 同浦汇 × 服中心（建议，供确认）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shd w:fill="0E2240" w:val="clear"/>
            <w:tcBorders>
              <w:top w:val="single" w:sz="4" w:color="C9A227"/>
              <w:left w:val="single" w:sz="4" w:color="C9A227"/>
              <w:bottom w:val="single" w:sz="4" w:color="C9A227"/>
              <w:right w:val="single" w:sz="4" w:color="C9A227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收入类型</w:t>
            </w:r>
          </w:p>
        </w:tc>
        <w:tc>
          <w:tcPr>
            <w:tcW w:type="dxa" w:w="3118"/>
            <w:shd w:fill="0E2240" w:val="clear"/>
            <w:tcBorders>
              <w:top w:val="single" w:sz="4" w:color="C9A227"/>
              <w:left w:val="single" w:sz="4" w:color="C9A227"/>
              <w:bottom w:val="single" w:sz="4" w:color="C9A227"/>
              <w:right w:val="single" w:sz="4" w:color="C9A227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建议分成</w:t>
            </w:r>
          </w:p>
        </w:tc>
        <w:tc>
          <w:tcPr>
            <w:tcW w:type="dxa" w:w="4252"/>
            <w:shd w:fill="0E2240" w:val="clear"/>
            <w:tcBorders>
              <w:top w:val="single" w:sz="4" w:color="C9A227"/>
              <w:left w:val="single" w:sz="4" w:color="C9A227"/>
              <w:bottom w:val="single" w:sz="4" w:color="C9A227"/>
              <w:right w:val="single" w:sz="4" w:color="C9A227"/>
            </w:tcBorders>
          </w:tcPr>
          <w:p>
            <w:r/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活动年包 30 万</w:t>
            </w:r>
          </w:p>
        </w:tc>
        <w:tc>
          <w:tcPr>
            <w:tcW w:type="dxa" w:w="311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服中心 70% / 同浦汇 30%</w:t>
            </w:r>
          </w:p>
        </w:tc>
        <w:tc>
          <w:tcPr>
            <w:tcW w:type="dxa" w:w="4252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活动年包对园区仍为 30 万；同浦汇与服中心内部建议执行承接 70% / 协同接口 30%</w:t>
            </w:r>
          </w:p>
        </w:tc>
      </w:tr>
      <w:tr>
        <w:tc>
          <w:tcPr>
            <w:tcW w:type="dxa" w:w="226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政策申报收益</w:t>
            </w:r>
          </w:p>
        </w:tc>
        <w:tc>
          <w:tcPr>
            <w:tcW w:type="dxa" w:w="311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同浦汇 38% / 服中心 62%</w:t>
            </w:r>
          </w:p>
        </w:tc>
        <w:tc>
          <w:tcPr>
            <w:tcW w:type="dxa" w:w="4252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同浦汇 38% / 服中心 62%（载体乙方偏高、活动均分、申报服务费乙方为主）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服中心筹备</w:t>
            </w:r>
          </w:p>
        </w:tc>
        <w:tc>
          <w:tcPr>
            <w:tcW w:type="dxa" w:w="3118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不另向同浦汇收费</w:t>
            </w:r>
          </w:p>
        </w:tc>
        <w:tc>
          <w:tcPr>
            <w:tcW w:type="dxa" w:w="4252"/>
            <w:shd w:fill="FFFFFF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服中心挂牌筹备不另向同浦汇收取；向政策与园区要的是牌照与申报入口</w:t>
            </w:r>
          </w:p>
        </w:tc>
      </w:tr>
      <w:tr>
        <w:tc>
          <w:tcPr>
            <w:tcW w:type="dxa" w:w="226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出海 / 领事 / 挂牌</w:t>
            </w:r>
          </w:p>
        </w:tc>
        <w:tc>
          <w:tcPr>
            <w:tcW w:type="dxa" w:w="3118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一事一议</w:t>
            </w:r>
          </w:p>
        </w:tc>
        <w:tc>
          <w:tcPr>
            <w:tcW w:type="dxa" w:w="4252"/>
            <w:shd w:fill="F4EBD3" w:val="clear"/>
            <w:tcBorders>
              <w:top w:val="single" w:sz="4" w:color="E7DDC6"/>
              <w:left w:val="single" w:sz="4" w:color="E7DDC6"/>
              <w:bottom w:val="single" w:sz="4" w:color="E7DDC6"/>
              <w:right w:val="single" w:sz="4" w:color="E7DDC6"/>
            </w:tcBorders>
          </w:tcPr>
          <w:p>
            <w:r/>
            <w:r>
              <w:rPr>
                <w:rFonts w:ascii="微软雅黑" w:hAnsi="微软雅黑" w:eastAsia="微软雅黑" w:cs="微软雅黑"/>
                <w:b w:val="0"/>
                <w:color w:val="243044"/>
                <w:sz w:val="20"/>
              </w:rPr>
              <w:t>与年包、政策分成分开签署</w:t>
            </w:r>
          </w:p>
        </w:tc>
      </w:tr>
    </w:tbl>
    <w:p/>
    <w:p>
      <w:pPr>
        <w:spacing w:after="160" w:before="0" w:lineRule="auto" w:line="307"/>
        <w:ind w:firstLine="420"/>
        <w:jc w:val="both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两套分成互不混用。活动年包对应执行劳动；政策收益对应牌照与申报主体。确认前，不把 38/62 写成活动包分成，也不把 70/30 写成政策分成。</w:t>
      </w:r>
    </w:p>
    <w:p>
      <w:pPr>
        <w:spacing w:after="200" w:before="320" w:lineRule="auto" w:line="307"/>
        <w:jc w:val="left"/>
        <w:pBdr>
          <w:bottom w:val="single" w:sz="12" w:space="4" w:color="C9A227"/>
        </w:pBdr>
      </w:pPr>
      <w:r>
        <w:rPr>
          <w:rFonts w:ascii="微软雅黑" w:hAnsi="微软雅黑" w:eastAsia="微软雅黑" w:cs="微软雅黑"/>
          <w:b/>
          <w:color w:val="0E2240"/>
          <w:sz w:val="32"/>
        </w:rPr>
        <w:t>九、下一步（请同浦汇确认）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1. 同浦汇确认：承接范围（30 场 + 服中心筹备）与不承接边界无异议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2. 确认内部结算：活动年包 70/30、政策收益 38/62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3. 确认 8–9 月前 8 场档期与场地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4. 确认向审核方提交的业主口径（杨浦科创集团）与赛道叙事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5. 签约后 7 日内启动款到位，T+14 交付细化执行手册</w:t>
      </w:r>
    </w:p>
    <w:p>
      <w:pPr>
        <w:spacing w:after="160" w:before="160" w:lineRule="auto" w:line="307"/>
        <w:ind w:firstLine="420"/>
        <w:jc w:val="both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五件事书面确认后，服中心可在启动款到账后 14 日内交付细化执行手册，并按 Excel 台账启动 8–9 月场次。</w:t>
      </w:r>
    </w:p>
    <w:p>
      <w:pPr>
        <w:spacing w:after="200" w:before="320" w:lineRule="auto" w:line="307"/>
        <w:jc w:val="left"/>
        <w:pBdr>
          <w:bottom w:val="single" w:sz="12" w:space="4" w:color="C9A227"/>
        </w:pBdr>
      </w:pPr>
      <w:r>
        <w:rPr>
          <w:rFonts w:ascii="微软雅黑" w:hAnsi="微软雅黑" w:eastAsia="微软雅黑" w:cs="微软雅黑"/>
          <w:b/>
          <w:color w:val="0E2240"/>
          <w:sz w:val="32"/>
        </w:rPr>
        <w:t>十、配套文件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PPT：《同浦汇_30场活动与科技企业服务中心筹备_业务承接策划案.pptx》（会面汇报，16 页）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Excel：《同浦汇_30场活动与科技企业服务中心筹备_执行台账.xlsx》（排期、分工、90 天、商务、风险）</w:t>
      </w:r>
    </w:p>
    <w:p>
      <w:pPr>
        <w:pStyle w:val="ListBullet"/>
        <w:spacing w:after="80" w:line="288" w:lineRule="auto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本文 Word 为可打印、可批注的完整策划案正文。</w:t>
      </w:r>
    </w:p>
    <w:p>
      <w:pPr>
        <w:spacing w:after="160" w:before="360" w:lineRule="auto" w:line="307"/>
        <w:jc w:val="center"/>
      </w:pPr>
      <w:r>
        <w:rPr>
          <w:rFonts w:ascii="微软雅黑" w:hAnsi="微软雅黑" w:eastAsia="微软雅黑" w:cs="微软雅黑"/>
          <w:b w:val="0"/>
          <w:color w:val="C9A227"/>
          <w:sz w:val="22"/>
        </w:rPr>
        <w:t>（正文完）</w:t>
      </w:r>
    </w:p>
    <w:p>
      <w:pPr>
        <w:spacing w:after="160" w:before="0" w:lineRule="auto" w:line="307"/>
        <w:jc w:val="center"/>
      </w:pPr>
      <w:r>
        <w:rPr>
          <w:rFonts w:ascii="微软雅黑" w:hAnsi="微软雅黑" w:eastAsia="微软雅黑" w:cs="微软雅黑"/>
          <w:b/>
          <w:color w:val="0E2240"/>
          <w:sz w:val="22"/>
        </w:rPr>
        <w:t>上海市杨浦区科技企业服务中心</w:t>
      </w:r>
    </w:p>
    <w:p>
      <w:pPr>
        <w:spacing w:after="160" w:before="0" w:lineRule="auto" w:line="307"/>
        <w:jc w:val="center"/>
      </w:pPr>
      <w:r>
        <w:rPr>
          <w:rFonts w:ascii="微软雅黑" w:hAnsi="微软雅黑" w:eastAsia="微软雅黑" w:cs="微软雅黑"/>
          <w:b w:val="0"/>
          <w:color w:val="243044"/>
          <w:sz w:val="22"/>
        </w:rPr>
        <w:t>2026年9月1日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243044"/>
        <w:sz w:val="16"/>
      </w:rPr>
      <w:t xml:space="preserve">机密 · 仅供同浦汇合作沟通，不作为对园区/投资方的承诺函　　</w:t>
    </w:r>
    <w:r>
      <w:rPr>
        <w:rFonts w:ascii="微软雅黑" w:hAnsi="微软雅黑" w:eastAsia="微软雅黑" w:cs="微软雅黑"/>
        <w:b w:val="0"/>
        <w:color w:val="243044"/>
        <w:sz w:val="16"/>
      </w:rPr>
      <w:t xml:space="preserve">第 </w:t>
    </w:r>
    <w:r>
      <w:rPr>
        <w:rFonts w:ascii="微软雅黑" w:hAnsi="微软雅黑" w:eastAsia="微软雅黑" w:cs="微软雅黑"/>
        <w:b w:val="0"/>
        <w:color w:val="243044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24304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 w:cs="微软雅黑"/>
        <w:b w:val="0"/>
        <w:color w:val="C9A227"/>
        <w:sz w:val="18"/>
      </w:rPr>
      <w:t>杨浦区科技企业服务中心 × 同浦汇　·　业务承接策划案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