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60" w:line="300" w:lineRule="auto"/>
        <w:jc w:val="left"/>
      </w:pPr>
      <w:r>
        <w:rPr>
          <w:rFonts w:ascii="Arial Unicode MS" w:hAnsi="Arial Unicode MS" w:eastAsia="Arial Unicode MS" w:cs="Arial Unicode MS"/>
          <w:b/>
          <w:i w:val="0"/>
          <w:color w:val="667085"/>
          <w:sz w:val="24"/>
        </w:rPr>
        <w:t>合作实施方案</w:t>
      </w:r>
    </w:p>
    <w:p>
      <w:pPr>
        <w:spacing w:before="0" w:after="60" w:line="300" w:lineRule="auto"/>
        <w:jc w:val="left"/>
      </w:pPr>
      <w:r>
        <w:rPr>
          <w:rFonts w:ascii="Arial Unicode MS" w:hAnsi="Arial Unicode MS" w:eastAsia="Arial Unicode MS" w:cs="Arial Unicode MS"/>
          <w:b/>
          <w:i w:val="0"/>
          <w:color w:val="0B2545"/>
          <w:sz w:val="52"/>
        </w:rPr>
        <w:t>泰隆银行小微与科技企业</w:t>
      </w:r>
    </w:p>
    <w:p>
      <w:pPr>
        <w:spacing w:before="0" w:after="200" w:line="300" w:lineRule="auto"/>
        <w:jc w:val="left"/>
      </w:pPr>
      <w:r>
        <w:rPr>
          <w:rFonts w:ascii="Arial Unicode MS" w:hAnsi="Arial Unicode MS" w:eastAsia="Arial Unicode MS" w:cs="Arial Unicode MS"/>
          <w:b/>
          <w:i w:val="0"/>
          <w:color w:val="0B2545"/>
          <w:sz w:val="52"/>
        </w:rPr>
        <w:t>参访合作计划</w:t>
      </w:r>
    </w:p>
    <w:p>
      <w:pPr>
        <w:spacing w:before="0" w:after="100" w:line="300" w:lineRule="auto"/>
        <w:jc w:val="left"/>
      </w:pPr>
      <w:r>
        <w:rPr>
          <w:rFonts w:ascii="Arial Unicode MS" w:hAnsi="Arial Unicode MS" w:eastAsia="Arial Unicode MS" w:cs="Arial Unicode MS"/>
          <w:b w:val="0"/>
          <w:i w:val="0"/>
          <w:color w:val="2E74B5"/>
          <w:sz w:val="22"/>
        </w:rPr>
        <w:t>2026 年 8—12 月示范周期｜可执行版：日历倒排 · 责任矩阵 · 预算 · 台账 · 话术包</w:t>
      </w:r>
    </w:p>
    <w:p>
      <w:pPr>
        <w:spacing w:before="0" w:after="160" w:line="300" w:lineRule="auto"/>
        <w:jc w:val="left"/>
      </w:pP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624"/>
        <w:gridCol w:w="7396"/>
      </w:tblGrid>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联合发起</w:t>
            </w:r>
          </w:p>
        </w:tc>
        <w:tc>
          <w:tcPr>
            <w:tcW w:type="dxa" w:w="739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复旦大学住房政策研究中心</w:t>
            </w:r>
          </w:p>
          <w:p>
            <w:pPr>
              <w:spacing w:before="10" w:after="20" w:line="270" w:lineRule="auto"/>
              <w:jc w:val="left"/>
            </w:pPr>
            <w:r>
              <w:rPr>
                <w:rFonts w:ascii="Arial Unicode MS" w:hAnsi="Arial Unicode MS" w:eastAsia="Arial Unicode MS" w:cs="Arial Unicode MS"/>
                <w:b w:val="0"/>
                <w:i w:val="0"/>
                <w:color w:val="1F2937"/>
                <w:sz w:val="19"/>
              </w:rPr>
              <w:t>上海市杨浦区科技企业联合会</w:t>
            </w:r>
          </w:p>
          <w:p>
            <w:pPr>
              <w:spacing w:before="10" w:after="20" w:line="270" w:lineRule="auto"/>
              <w:jc w:val="left"/>
            </w:pPr>
            <w:r>
              <w:rPr>
                <w:rFonts w:ascii="Arial Unicode MS" w:hAnsi="Arial Unicode MS" w:eastAsia="Arial Unicode MS" w:cs="Arial Unicode MS"/>
                <w:b w:val="0"/>
                <w:i w:val="0"/>
                <w:color w:val="1F2937"/>
                <w:sz w:val="19"/>
              </w:rPr>
              <w:t>上海市科技企业联合会</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拟合作方</w:t>
            </w:r>
          </w:p>
        </w:tc>
        <w:tc>
          <w:tcPr>
            <w:tcW w:type="dxa" w:w="739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浙江泰隆商业银行（上海地区相关机构，以最终确认为准）</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方案定位</w:t>
            </w:r>
          </w:p>
        </w:tc>
        <w:tc>
          <w:tcPr>
            <w:tcW w:type="dxa" w:w="739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服务小微企业与中小型企业客户，构建"金融 + 出海 + 科技"资源生态</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示范周期</w:t>
            </w:r>
          </w:p>
        </w:tc>
        <w:tc>
          <w:tcPr>
            <w:tcW w:type="dxa" w:w="739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2026 年 8 月 20 日 — 12 月 17 日，共 5 场旗舰活动 + 若干闭门诊断会</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版本日期</w:t>
            </w:r>
          </w:p>
        </w:tc>
        <w:tc>
          <w:tcPr>
            <w:tcW w:type="dxa" w:w="739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2026 年 7 月｜可执行稿 V2.0（在 V1.0 讨论稿基础上补强落地要素）</w:t>
            </w:r>
          </w:p>
        </w:tc>
      </w:tr>
    </w:tbl>
    <w:p>
      <w:pPr>
        <w:spacing w:before="0" w:after="120" w:line="300" w:lineRule="auto"/>
        <w:jc w:val="left"/>
      </w:pPr>
    </w:p>
    <w:p>
      <w:pPr>
        <w:spacing w:before="0" w:after="16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FFF4D6"/>
          </w:tcPr>
          <w:p>
            <w:pPr>
              <w:spacing w:before="20" w:after="20" w:line="270" w:lineRule="auto"/>
              <w:jc w:val="left"/>
            </w:pPr>
            <w:r>
              <w:rPr>
                <w:rFonts w:ascii="Arial Unicode MS" w:hAnsi="Arial Unicode MS" w:eastAsia="Arial Unicode MS" w:cs="Arial Unicode MS"/>
                <w:b/>
                <w:i w:val="0"/>
                <w:color w:val="0B2545"/>
                <w:sz w:val="21"/>
              </w:rPr>
              <w:t>免责与边界声明</w:t>
            </w:r>
          </w:p>
          <w:p>
            <w:pPr>
              <w:spacing w:before="10" w:after="20" w:line="270" w:lineRule="auto"/>
              <w:jc w:val="left"/>
            </w:pPr>
            <w:r>
              <w:rPr>
                <w:rFonts w:ascii="Arial Unicode MS" w:hAnsi="Arial Unicode MS" w:eastAsia="Arial Unicode MS" w:cs="Arial Unicode MS"/>
                <w:b w:val="0"/>
                <w:i w:val="0"/>
                <w:color w:val="1F2937"/>
                <w:sz w:val="20"/>
              </w:rPr>
              <w:t>本方案为合作机制建议稿，不构成泰隆银行对任何企业授信、利率、期限、放款时点或跨境业务办理结果的承诺；所有金融业务以银行独立尽调、审批及合规要求为准。</w:t>
            </w:r>
          </w:p>
          <w:p>
            <w:pPr>
              <w:spacing w:before="10" w:after="20" w:line="270" w:lineRule="auto"/>
              <w:jc w:val="left"/>
            </w:pPr>
            <w:r>
              <w:rPr>
                <w:rFonts w:ascii="Arial Unicode MS" w:hAnsi="Arial Unicode MS" w:eastAsia="Arial Unicode MS" w:cs="Arial Unicode MS"/>
                <w:b w:val="0"/>
                <w:i w:val="0"/>
                <w:color w:val="1F2937"/>
                <w:sz w:val="20"/>
              </w:rPr>
              <w:t>文中日期、预算、人力配置与指标均为建议值，须经联合工作组与银行内部相应流程确认后执行。文中提及的企业名称、专题方向仅为工作口径示例，对外发布须另行授权。</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〇、V2.0 升级说明：从"机制说明"到"可执行"</w:t>
      </w:r>
    </w:p>
    <w:p>
      <w:pPr>
        <w:spacing w:before="60" w:after="100" w:line="300" w:lineRule="auto"/>
        <w:jc w:val="left"/>
      </w:pPr>
      <w:r>
        <w:rPr>
          <w:rFonts w:ascii="Arial Unicode MS" w:hAnsi="Arial Unicode MS" w:eastAsia="Arial Unicode MS" w:cs="Arial Unicode MS"/>
          <w:b w:val="0"/>
          <w:i w:val="0"/>
          <w:color w:val="1F2937"/>
          <w:sz w:val="21"/>
        </w:rPr>
        <w:t>V1.0 已完成合作框架、三条服务链路与 SOP 六阶段的搭建，其主要不足在于：缺少可直接排期的日期、缺少到岗位的责任划分、缺少费用与人力口径、缺少可落表执行的工具与话术。V2.0 针对性补齐以下六项，力求做到"拿到文件即可开工"。</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263"/>
        <w:gridCol w:w="1804"/>
        <w:gridCol w:w="4690"/>
        <w:gridCol w:w="1263"/>
      </w:tblGrid>
      <w:tr>
        <w:trPr>
          <w:tblHeader w:val="true"/>
          <w:cantSplit/>
        </w:trPr>
        <w:tc>
          <w:tcPr>
            <w:tcW w:type="dxa" w:w="126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补强项</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V1.0 状态</w:t>
            </w:r>
          </w:p>
        </w:tc>
        <w:tc>
          <w:tcPr>
            <w:tcW w:type="dxa" w:w="4690"/>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V2.0 新增内容</w:t>
            </w:r>
          </w:p>
        </w:tc>
        <w:tc>
          <w:tcPr>
            <w:tcW w:type="dxa" w:w="126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所在章节</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时间可排期</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仅有 T-30 / T+30 相对时点</w:t>
            </w:r>
          </w:p>
        </w:tc>
        <w:tc>
          <w:tcPr>
            <w:tcW w:type="dxa" w:w="469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锁定 5 场活动的具体日期与星期；给出每场 T-30→T+30 的真实日历倒排表；对 8 月首场给出压缩版 16 工作日倒排</w:t>
            </w:r>
          </w:p>
        </w:tc>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第三章</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专题可落地</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"可选专题线"仅为候选清单</w:t>
            </w:r>
          </w:p>
        </w:tc>
        <w:tc>
          <w:tcPr>
            <w:tcW w:type="dxa" w:w="469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9 月东南亚出海、10 月具身智能、11 月 AI 平台与产业链三个专题升级为完整子方案：对象口径、对接路径、产出物、启动条件、合规红线</w:t>
            </w:r>
          </w:p>
        </w:tc>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第四章</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责任到岗</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仅有工作组角色描述</w:t>
            </w:r>
          </w:p>
        </w:tc>
        <w:tc>
          <w:tcPr>
            <w:tcW w:type="dxa" w:w="469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13 项关键任务的 RACI 责任矩阵；单场活动 17 人力配置表（岗位、人数、来源、上岗要求）</w:t>
            </w:r>
          </w:p>
        </w:tc>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第七章</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费用可核算</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仅提及"预算上限"</w:t>
            </w:r>
          </w:p>
        </w:tc>
        <w:tc>
          <w:tcPr>
            <w:tcW w:type="dxa" w:w="469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基础版 / 标准版 / 专题版三档单场预算明细；全周期预算汇总；费用分担与结算原则；降本替代方案</w:t>
            </w:r>
          </w:p>
        </w:tc>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第八章</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工具可落表</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仅有字段建议</w:t>
            </w:r>
          </w:p>
        </w:tc>
        <w:tc>
          <w:tcPr>
            <w:tcW w:type="dxa" w:w="469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三张核心表（企业池 / 任务台账 / KPI 看板）字段规范、任务状态流转规则、SLA 计时口径、权限分级</w:t>
            </w:r>
          </w:p>
        </w:tc>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第十一章</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执行有脚本</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仅有主持开场口径</w:t>
            </w:r>
          </w:p>
        </w:tc>
        <w:tc>
          <w:tcPr>
            <w:tcW w:type="dxa" w:w="469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四类话术包：邀约话术、现场三组问诊话术、跟进与暂缓沟通话术、主持人逐字稿；另增物料清单与应急预案</w:t>
            </w:r>
          </w:p>
        </w:tc>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附件 7—12</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一、项目背景与合作定位</w:t>
      </w:r>
    </w:p>
    <w:p>
      <w:pPr>
        <w:spacing w:before="60" w:after="100" w:line="300" w:lineRule="auto"/>
        <w:jc w:val="left"/>
      </w:pPr>
      <w:r>
        <w:rPr>
          <w:rFonts w:ascii="Arial Unicode MS" w:hAnsi="Arial Unicode MS" w:eastAsia="Arial Unicode MS" w:cs="Arial Unicode MS"/>
          <w:b w:val="0"/>
          <w:i w:val="0"/>
          <w:color w:val="1F2937"/>
          <w:sz w:val="21"/>
        </w:rPr>
        <w:t>泰隆银行长期坚持服务小微企业、践行普惠金融，形成了面向小微企业的金融服务与风险管理经验。结合高校智库的研究与政策连接能力、科技企业联合会的企业组织能力，以及银行的金融与客户服务能力，三方可共同建设面向上海科技型小微企业和中小企业的常态化参访与服务平台。</w:t>
      </w:r>
    </w:p>
    <w:p>
      <w:pPr>
        <w:spacing w:before="60" w:after="100" w:line="300" w:lineRule="auto"/>
        <w:jc w:val="left"/>
      </w:pPr>
      <w:r>
        <w:rPr>
          <w:rFonts w:ascii="Arial Unicode MS" w:hAnsi="Arial Unicode MS" w:eastAsia="Arial Unicode MS" w:cs="Arial Unicode MS"/>
          <w:b w:val="0"/>
          <w:i w:val="0"/>
          <w:color w:val="1F2937"/>
          <w:sz w:val="21"/>
        </w:rPr>
        <w:t>项目以 2026 年 8—12 月为示范周期，采用"月度主题参访 + 专题闭门诊断 + 线上跟踪台账"的组织方式。参访既可安排在泰隆银行指定的上海地区机构，也可根据主题走进园区、企业、实验室或服务机构，形成双向开放的资源场景。</w:t>
      </w:r>
    </w:p>
    <w:p>
      <w:pPr>
        <w:pStyle w:val="Heading2"/>
        <w:keepNext/>
        <w:spacing w:before="240" w:after="100" w:line="300" w:lineRule="auto"/>
        <w:jc w:val="left"/>
      </w:pPr>
      <w:r>
        <w:rPr>
          <w:rFonts w:ascii="Arial Unicode MS" w:hAnsi="Arial Unicode MS" w:eastAsia="Arial Unicode MS" w:cs="Arial Unicode MS"/>
          <w:b/>
          <w:i w:val="0"/>
          <w:color w:val="2E74B5"/>
          <w:sz w:val="24"/>
        </w:rPr>
        <w:t>1.1 总体目标（含可验证口径）</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804"/>
        <w:gridCol w:w="5232"/>
        <w:gridCol w:w="1984"/>
      </w:tblGrid>
      <w:tr>
        <w:trPr>
          <w:tblHeader w:val="true"/>
          <w:cantSplit/>
        </w:trPr>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目标</w:t>
            </w:r>
          </w:p>
        </w:tc>
        <w:tc>
          <w:tcPr>
            <w:tcW w:type="dxa" w:w="523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可验证标志</w:t>
            </w:r>
          </w:p>
        </w:tc>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验收时点</w:t>
            </w:r>
          </w:p>
        </w:tc>
      </w:tr>
      <w:tr>
        <w:trPr>
          <w:cantSplit/>
        </w:trPr>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建立稳定企业入口</w:t>
            </w:r>
          </w:p>
        </w:tc>
        <w:tc>
          <w:tcPr>
            <w:tcW w:type="dxa" w:w="523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形成不少于 80 家已授权、核心字段完整的企业档案，且来源可追溯到具体场次</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12 月 17 日前</w:t>
            </w:r>
          </w:p>
        </w:tc>
      </w:tr>
      <w:tr>
        <w:trPr>
          <w:cantSplit/>
        </w:trPr>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打通三条服务通道</w:t>
            </w:r>
          </w:p>
        </w:tc>
        <w:tc>
          <w:tcPr>
            <w:tcW w:type="dxa" w:w="523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助贷助融、出海支持、科技链接三条通道各有 1 名固定主责人，且每条通道均产生可核验的服务记录</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9 月 30 日前完成机制、12 月完成数量目标</w:t>
            </w:r>
          </w:p>
        </w:tc>
      </w:tr>
      <w:tr>
        <w:trPr>
          <w:cantSplit/>
        </w:trPr>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形成闭环合作机制</w:t>
            </w:r>
          </w:p>
        </w:tc>
        <w:tc>
          <w:tcPr>
            <w:tcW w:type="dxa" w:w="523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"3—5—10—30"服务时限执行率达标，逾期事项 100% 进入升级流程</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每场活动 T+30</w:t>
            </w:r>
          </w:p>
        </w:tc>
      </w:tr>
      <w:tr>
        <w:trPr>
          <w:cantSplit/>
        </w:trPr>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守住合规边界</w:t>
            </w:r>
          </w:p>
        </w:tc>
        <w:tc>
          <w:tcPr>
            <w:tcW w:type="dxa" w:w="523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全周期零"承诺授信/保证放款"类对外表述；企业信息使用均有授权记录</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全周期</w:t>
            </w:r>
          </w:p>
        </w:tc>
      </w:tr>
      <w:tr>
        <w:trPr>
          <w:cantSplit/>
        </w:trPr>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沉淀可复用资产</w:t>
            </w:r>
          </w:p>
        </w:tc>
        <w:tc>
          <w:tcPr>
            <w:tcW w:type="dxa" w:w="523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年度成果报告 1 份、匿名化案例不少于 10 个、次年方案 1 份</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12 月 31 日前</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1.2 合作价值</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984"/>
        <w:gridCol w:w="3518"/>
        <w:gridCol w:w="3518"/>
      </w:tblGrid>
      <w:tr>
        <w:trPr>
          <w:tblHeader w:val="true"/>
          <w:cantSplit/>
        </w:trPr>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参与方</w:t>
            </w:r>
          </w:p>
        </w:tc>
        <w:tc>
          <w:tcPr>
            <w:tcW w:type="dxa" w:w="351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核心投入</w:t>
            </w:r>
          </w:p>
        </w:tc>
        <w:tc>
          <w:tcPr>
            <w:tcW w:type="dxa" w:w="351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主要获得</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泰隆银行</w:t>
            </w:r>
          </w:p>
        </w:tc>
        <w:tc>
          <w:tcPr>
            <w:tcW w:type="dxa" w:w="351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小微金融能力、客户经理、跨境及企业服务资源、场地与案例</w:t>
            </w:r>
          </w:p>
        </w:tc>
        <w:tc>
          <w:tcPr>
            <w:tcW w:type="dxa" w:w="351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高质量企业触达、需求洞察、客户综合服务与品牌影响</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复旦大学住房政策研究中心</w:t>
            </w:r>
          </w:p>
        </w:tc>
        <w:tc>
          <w:tcPr>
            <w:tcW w:type="dxa" w:w="351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研究方法、政策解读、专家资源、产业与城市议题连接</w:t>
            </w:r>
          </w:p>
        </w:tc>
        <w:tc>
          <w:tcPr>
            <w:tcW w:type="dxa" w:w="351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企业样本与实践案例、产学研课题、成果转化与公共影响</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杨浦区科技企业联合会</w:t>
            </w:r>
          </w:p>
        </w:tc>
        <w:tc>
          <w:tcPr>
            <w:tcW w:type="dxa" w:w="351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区内企业组织、园区网络、需求征集、属地协调</w:t>
            </w:r>
          </w:p>
        </w:tc>
        <w:tc>
          <w:tcPr>
            <w:tcW w:type="dxa" w:w="351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会员精准服务、融资与技术资源、企业成长案例</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上海市科技企业联合会</w:t>
            </w:r>
          </w:p>
        </w:tc>
        <w:tc>
          <w:tcPr>
            <w:tcW w:type="dxa" w:w="351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全市企业覆盖、产业链资源、专业服务伙伴</w:t>
            </w:r>
          </w:p>
        </w:tc>
        <w:tc>
          <w:tcPr>
            <w:tcW w:type="dxa" w:w="351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跨区域协同、供需匹配、科技企业服务体系完善</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参与企业</w:t>
            </w:r>
          </w:p>
        </w:tc>
        <w:tc>
          <w:tcPr>
            <w:tcW w:type="dxa" w:w="351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真实经营信息、明确需求、按期反馈</w:t>
            </w:r>
          </w:p>
        </w:tc>
        <w:tc>
          <w:tcPr>
            <w:tcW w:type="dxa" w:w="351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融资诊断、出海服务、技术与场景连接、同业交流</w:t>
            </w:r>
          </w:p>
        </w:tc>
      </w:tr>
    </w:tbl>
    <w:p>
      <w:pPr>
        <w:spacing w:before="0" w:after="120" w:line="300" w:lineRule="auto"/>
        <w:jc w:val="left"/>
      </w:pPr>
    </w:p>
    <w:p>
      <w:pPr>
        <w:spacing w:before="0" w:after="12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核心主张</w:t>
            </w:r>
          </w:p>
          <w:p>
            <w:pPr>
              <w:spacing w:before="10" w:after="20" w:line="270" w:lineRule="auto"/>
              <w:jc w:val="left"/>
            </w:pPr>
            <w:r>
              <w:rPr>
                <w:rFonts w:ascii="Arial Unicode MS" w:hAnsi="Arial Unicode MS" w:eastAsia="Arial Unicode MS" w:cs="Arial Unicode MS"/>
                <w:b w:val="0"/>
                <w:i w:val="0"/>
                <w:color w:val="1F2937"/>
                <w:sz w:val="20"/>
              </w:rPr>
              <w:t>把企业参访从单次交流升级为可持续服务入口：活动前识别真实需求，活动中完成专业诊断与资源匹配，活动后进入 30 日跟进台账，并将成熟案例回流为下一期企业筛选与服务产品。</w:t>
            </w:r>
          </w:p>
        </w:tc>
      </w:tr>
    </w:tbl>
    <w:p>
      <w:pPr>
        <w:spacing w:before="0" w:after="100" w:line="300" w:lineRule="auto"/>
        <w:jc w:val="left"/>
      </w:pPr>
    </w:p>
    <w:p>
      <w:pPr>
        <w:pStyle w:val="Heading1"/>
        <w:keepNext/>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二、总体架构：一池、三链、五场、七步</w:t>
      </w:r>
    </w:p>
    <w:p>
      <w:pPr>
        <w:spacing w:before="60" w:after="100" w:line="300" w:lineRule="auto"/>
        <w:jc w:val="left"/>
      </w:pPr>
      <w:r>
        <w:rPr>
          <w:rFonts w:ascii="Arial Unicode MS" w:hAnsi="Arial Unicode MS" w:eastAsia="Arial Unicode MS" w:cs="Arial Unicode MS"/>
          <w:b w:val="0"/>
          <w:i w:val="0"/>
          <w:color w:val="1F2937"/>
          <w:sz w:val="21"/>
        </w:rPr>
        <w:t>项目采用"一池、三链、五场、七步"的运行框架，确保每一场参访都能沉淀企业档案、服务任务和可追踪结果。</w:t>
      </w:r>
    </w:p>
    <w:p>
      <w:pPr>
        <w:pStyle w:val="Heading2"/>
        <w:keepNext/>
        <w:spacing w:before="240" w:after="100" w:line="300" w:lineRule="auto"/>
        <w:jc w:val="left"/>
      </w:pPr>
      <w:r>
        <w:rPr>
          <w:rFonts w:ascii="Arial Unicode MS" w:hAnsi="Arial Unicode MS" w:eastAsia="Arial Unicode MS" w:cs="Arial Unicode MS"/>
          <w:b/>
          <w:i w:val="0"/>
          <w:color w:val="2E74B5"/>
          <w:sz w:val="24"/>
        </w:rPr>
        <w:t>2.1 一池：联合企业服务池</w:t>
      </w:r>
    </w:p>
    <w:p>
      <w:pPr>
        <w:spacing w:before="60" w:after="100" w:line="300" w:lineRule="auto"/>
        <w:jc w:val="left"/>
      </w:pPr>
      <w:r>
        <w:rPr>
          <w:rFonts w:ascii="Arial Unicode MS" w:hAnsi="Arial Unicode MS" w:eastAsia="Arial Unicode MS" w:cs="Arial Unicode MS"/>
          <w:b w:val="0"/>
          <w:i w:val="0"/>
          <w:color w:val="1F2937"/>
          <w:sz w:val="21"/>
        </w:rPr>
        <w:t>由三家发起单位联合征集企业，泰隆银行在获得企业授权后参与金融需求识别。企业服务池按行业、发展阶段、经营规模、融资需求、出海阶段、技术需求、信息完整度等维度建档；原则上不采集与活动及服务无关的敏感信息。企业池的字段规范、状态流转与权限分级见第十一章。</w:t>
      </w:r>
    </w:p>
    <w:p>
      <w:pPr>
        <w:pStyle w:val="Heading2"/>
        <w:keepNext/>
        <w:spacing w:before="240" w:after="100" w:line="300" w:lineRule="auto"/>
        <w:jc w:val="left"/>
      </w:pPr>
      <w:r>
        <w:rPr>
          <w:rFonts w:ascii="Arial Unicode MS" w:hAnsi="Arial Unicode MS" w:eastAsia="Arial Unicode MS" w:cs="Arial Unicode MS"/>
          <w:b/>
          <w:i w:val="0"/>
          <w:color w:val="2E74B5"/>
          <w:sz w:val="24"/>
        </w:rPr>
        <w:t>2.2 三链：闭环服务通道</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173"/>
        <w:gridCol w:w="2706"/>
        <w:gridCol w:w="2345"/>
        <w:gridCol w:w="2796"/>
      </w:tblGrid>
      <w:tr>
        <w:trPr>
          <w:tblHeader w:val="true"/>
          <w:cantSplit/>
        </w:trPr>
        <w:tc>
          <w:tcPr>
            <w:tcW w:type="dxa" w:w="117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服务链</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企业典型需求</w:t>
            </w:r>
          </w:p>
        </w:tc>
        <w:tc>
          <w:tcPr>
            <w:tcW w:type="dxa" w:w="234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参访输出</w:t>
            </w:r>
          </w:p>
        </w:tc>
        <w:tc>
          <w:tcPr>
            <w:tcW w:type="dxa" w:w="279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后续闭环</w:t>
            </w:r>
          </w:p>
        </w:tc>
      </w:tr>
      <w:tr>
        <w:trPr>
          <w:cantSplit/>
        </w:trPr>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助贷与助融</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流动资金、订单融资、设备投入、研发投入、供应链周转、股债组合认知</w:t>
            </w:r>
          </w:p>
        </w:tc>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融资体检、材料清单、对接路径、风险提示</w:t>
            </w:r>
          </w:p>
        </w:tc>
        <w:tc>
          <w:tcPr>
            <w:tcW w:type="dxa" w:w="279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银行独立尽调审批；不符合信贷条件的，转介担保、政策、股权或其他合规渠道</w:t>
            </w:r>
          </w:p>
        </w:tc>
      </w:tr>
      <w:tr>
        <w:trPr>
          <w:cantSplit/>
        </w:trPr>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出海支持</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跨境收付、贸易融资、汇率风险、跨境电商、境外市场与合规服务</w:t>
            </w:r>
          </w:p>
        </w:tc>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出海阶段诊断、金融服务清单、专业伙伴清单</w:t>
            </w:r>
          </w:p>
        </w:tc>
        <w:tc>
          <w:tcPr>
            <w:tcW w:type="dxa" w:w="279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银行国际业务团队与合规服务伙伴分工跟进，按事项反馈</w:t>
            </w:r>
          </w:p>
        </w:tc>
      </w:tr>
      <w:tr>
        <w:trPr>
          <w:cantSplit/>
        </w:trPr>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科技链接</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技术供需、成果转化、数智化改造、应用场景、产业链合作</w:t>
            </w:r>
          </w:p>
        </w:tc>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技术需求卡、路演反馈、供需匹配建议</w:t>
            </w:r>
          </w:p>
        </w:tc>
        <w:tc>
          <w:tcPr>
            <w:tcW w:type="dxa" w:w="279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高校、企业、园区与服务机构形成项目小组，跟踪验证或商务洽谈</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2.3 五场：8—12 月主题参访</w:t>
      </w:r>
    </w:p>
    <w:p>
      <w:pPr>
        <w:spacing w:before="60" w:after="100" w:line="300" w:lineRule="auto"/>
        <w:jc w:val="left"/>
      </w:pPr>
      <w:r>
        <w:rPr>
          <w:rFonts w:ascii="Arial Unicode MS" w:hAnsi="Arial Unicode MS" w:eastAsia="Arial Unicode MS" w:cs="Arial Unicode MS"/>
          <w:b w:val="0"/>
          <w:i w:val="0"/>
          <w:color w:val="1F2937"/>
          <w:sz w:val="21"/>
        </w:rPr>
        <w:t>每月安排 1 场旗舰活动，每场 20—30 家企业、30—50 人；对高匹配需求另行安排 6—10 家企业的闭门诊断会。具体日期见 3.1，承办机构由联合工作组在每场 T-30 立项会上确认。</w:t>
      </w:r>
    </w:p>
    <w:p>
      <w:pPr>
        <w:pStyle w:val="Heading2"/>
        <w:keepNext/>
        <w:spacing w:before="240" w:after="100" w:line="300" w:lineRule="auto"/>
        <w:jc w:val="left"/>
      </w:pPr>
      <w:r>
        <w:rPr>
          <w:rFonts w:ascii="Arial Unicode MS" w:hAnsi="Arial Unicode MS" w:eastAsia="Arial Unicode MS" w:cs="Arial Unicode MS"/>
          <w:b/>
          <w:i w:val="0"/>
          <w:color w:val="2E74B5"/>
          <w:sz w:val="24"/>
        </w:rPr>
        <w:t>2.4 七步：标准服务闭环</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082"/>
        <w:gridCol w:w="2706"/>
        <w:gridCol w:w="2526"/>
        <w:gridCol w:w="2706"/>
      </w:tblGrid>
      <w:tr>
        <w:trPr>
          <w:tblHeader w:val="true"/>
          <w:cantSplit/>
        </w:trPr>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步骤</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动作</w:t>
            </w:r>
          </w:p>
        </w:tc>
        <w:tc>
          <w:tcPr>
            <w:tcW w:type="dxa" w:w="252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硬性交付物</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不通过则不进入下一步</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 主题立项</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依据企业需求、银行服务重点和产业趋势确定月度主题</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一页活动任务书（含预算、KPI、风险点）</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任务书未经指导组确认，不得对外发布邀请</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 企业征集</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发布邀请与报名表，说明适配对象、数据用途和活动边界</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邀请函、报名表、数据用途说明</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数据用途说明未随报名表同步发布，不得收集信息</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 需求分层</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形成企业画像和 A/B/C 级服务优先级</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分层名单 + 席位表</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A 类企业未指定主责任人，不得进入闭门诊断</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 活动匹配</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安排政策、金融、出海、科技等模块，落实主讲人与服务席位</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《企业—需求—负责人》匹配表</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匹配表空缺率高于 20%，延期或缩减场次规模</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5 现场诊断</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主题分享、案例拆解、分组问诊、服务确认卡</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每企 1 张服务确认卡</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未签服务确认卡的需求不进入台账</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6 限时跟进</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 日建档、5 日分派、10 日首次反馈、30 日闭环复盘</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任务台账更新记录</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逾期事项自动升级至项目办公室与通道负责人</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7 成果回流</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匿名化案例、共性需求报告、下一期选题</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单场复盘表 + 案例卡</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未取得书面授权的案例不得对外发布</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三、2026 年 8—12 月参访计划表（含具体日期与倒排）</w:t>
      </w:r>
    </w:p>
    <w:p>
      <w:pPr>
        <w:pStyle w:val="Heading2"/>
        <w:keepNext/>
        <w:spacing w:before="240" w:after="100" w:line="300" w:lineRule="auto"/>
        <w:jc w:val="left"/>
      </w:pPr>
      <w:r>
        <w:rPr>
          <w:rFonts w:ascii="Arial Unicode MS" w:hAnsi="Arial Unicode MS" w:eastAsia="Arial Unicode MS" w:cs="Arial Unicode MS"/>
          <w:b/>
          <w:i w:val="0"/>
          <w:color w:val="2E74B5"/>
          <w:sz w:val="24"/>
        </w:rPr>
        <w:t>3.1 年度日历总览</w:t>
      </w:r>
    </w:p>
    <w:p>
      <w:pPr>
        <w:spacing w:before="60" w:after="100" w:line="300" w:lineRule="auto"/>
        <w:jc w:val="left"/>
      </w:pPr>
      <w:r>
        <w:rPr>
          <w:rFonts w:ascii="Arial Unicode MS" w:hAnsi="Arial Unicode MS" w:eastAsia="Arial Unicode MS" w:cs="Arial Unicode MS"/>
          <w:b w:val="0"/>
          <w:i w:val="0"/>
          <w:color w:val="1F2937"/>
          <w:sz w:val="21"/>
        </w:rPr>
        <w:t>建议统一采用"周四下午半天"的固定节奏，便于企业形成预期、便于银行客户经理稳定排班。日期已避开 2026 年国庆假期（10 月 1—7 日）与中秋（9 月 25 日）前后一周的密集商务期。最终日期以每场 T-30 立项会确认为准。</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722"/>
        <w:gridCol w:w="1173"/>
        <w:gridCol w:w="2165"/>
        <w:gridCol w:w="2165"/>
        <w:gridCol w:w="1082"/>
        <w:gridCol w:w="1713"/>
      </w:tblGrid>
      <w:tr>
        <w:trPr>
          <w:tblHeader w:val="true"/>
          <w:cantSplit/>
        </w:trPr>
        <w:tc>
          <w:tcPr>
            <w:tcW w:type="dxa" w:w="72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场次</w:t>
            </w:r>
          </w:p>
        </w:tc>
        <w:tc>
          <w:tcPr>
            <w:tcW w:type="dxa" w:w="117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日期</w:t>
            </w:r>
          </w:p>
        </w:tc>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主题</w:t>
            </w:r>
          </w:p>
        </w:tc>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建议场景</w:t>
            </w:r>
          </w:p>
        </w:tc>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规模</w:t>
            </w:r>
          </w:p>
        </w:tc>
        <w:tc>
          <w:tcPr>
            <w:tcW w:type="dxa" w:w="171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承办牵头</w:t>
            </w:r>
          </w:p>
        </w:tc>
      </w:tr>
      <w:tr>
        <w:trPr>
          <w:cantSplit/>
        </w:trPr>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第 1 场</w:t>
            </w:r>
          </w:p>
        </w:tc>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20 日</w:t>
            </w:r>
          </w:p>
          <w:p>
            <w:pPr>
              <w:spacing w:before="10" w:after="20" w:line="270" w:lineRule="auto"/>
              <w:jc w:val="left"/>
            </w:pPr>
            <w:r>
              <w:rPr>
                <w:rFonts w:ascii="Arial Unicode MS" w:hAnsi="Arial Unicode MS" w:eastAsia="Arial Unicode MS" w:cs="Arial Unicode MS"/>
                <w:b w:val="0"/>
                <w:i w:val="0"/>
                <w:color w:val="1F2937"/>
                <w:sz w:val="19"/>
              </w:rPr>
              <w:t>（周四）</w:t>
            </w:r>
          </w:p>
          <w:p>
            <w:pPr>
              <w:spacing w:before="10" w:after="20" w:line="270" w:lineRule="auto"/>
              <w:jc w:val="left"/>
            </w:pPr>
            <w:r>
              <w:rPr>
                <w:rFonts w:ascii="Arial Unicode MS" w:hAnsi="Arial Unicode MS" w:eastAsia="Arial Unicode MS" w:cs="Arial Unicode MS"/>
                <w:b w:val="0"/>
                <w:i w:val="0"/>
                <w:color w:val="1F2937"/>
                <w:sz w:val="19"/>
              </w:rPr>
              <w:t>14:00—16:30</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启动与小微金融体检</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泰隆银行指定会场｜银行开放日</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25 家 / 45 人</w:t>
            </w:r>
          </w:p>
        </w:tc>
        <w:tc>
          <w:tcPr>
            <w:tcW w:type="dxa" w:w="171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泰隆银行 + 杨浦区科企联</w:t>
            </w:r>
          </w:p>
        </w:tc>
      </w:tr>
      <w:tr>
        <w:trPr>
          <w:cantSplit/>
        </w:trPr>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第 2 场</w:t>
            </w:r>
          </w:p>
        </w:tc>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9 月 10 日</w:t>
            </w:r>
          </w:p>
          <w:p>
            <w:pPr>
              <w:spacing w:before="10" w:after="20" w:line="270" w:lineRule="auto"/>
              <w:jc w:val="left"/>
            </w:pPr>
            <w:r>
              <w:rPr>
                <w:rFonts w:ascii="Arial Unicode MS" w:hAnsi="Arial Unicode MS" w:eastAsia="Arial Unicode MS" w:cs="Arial Unicode MS"/>
                <w:b w:val="0"/>
                <w:i w:val="0"/>
                <w:color w:val="1F2937"/>
                <w:sz w:val="19"/>
              </w:rPr>
              <w:t>（周四）</w:t>
            </w:r>
          </w:p>
          <w:p>
            <w:pPr>
              <w:spacing w:before="10" w:after="20" w:line="270" w:lineRule="auto"/>
              <w:jc w:val="left"/>
            </w:pPr>
            <w:r>
              <w:rPr>
                <w:rFonts w:ascii="Arial Unicode MS" w:hAnsi="Arial Unicode MS" w:eastAsia="Arial Unicode MS" w:cs="Arial Unicode MS"/>
                <w:b w:val="0"/>
                <w:i w:val="0"/>
                <w:color w:val="1F2937"/>
                <w:sz w:val="19"/>
              </w:rPr>
              <w:t>13:30—17:00</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出海与跨境经营：东南亚专题</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银行国际业务场景 + 出海服务机构</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30 家 / 55 人</w:t>
            </w:r>
          </w:p>
        </w:tc>
        <w:tc>
          <w:tcPr>
            <w:tcW w:type="dxa" w:w="171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市科企联 + 泰隆银行国际业务</w:t>
            </w:r>
          </w:p>
        </w:tc>
      </w:tr>
      <w:tr>
        <w:trPr>
          <w:cantSplit/>
        </w:trPr>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第 3 场</w:t>
            </w:r>
          </w:p>
        </w:tc>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10 月 22 日</w:t>
            </w:r>
          </w:p>
          <w:p>
            <w:pPr>
              <w:spacing w:before="10" w:after="20" w:line="270" w:lineRule="auto"/>
              <w:jc w:val="left"/>
            </w:pPr>
            <w:r>
              <w:rPr>
                <w:rFonts w:ascii="Arial Unicode MS" w:hAnsi="Arial Unicode MS" w:eastAsia="Arial Unicode MS" w:cs="Arial Unicode MS"/>
                <w:b w:val="0"/>
                <w:i w:val="0"/>
                <w:color w:val="1F2937"/>
                <w:sz w:val="19"/>
              </w:rPr>
              <w:t>（周四）</w:t>
            </w:r>
          </w:p>
          <w:p>
            <w:pPr>
              <w:spacing w:before="10" w:after="20" w:line="270" w:lineRule="auto"/>
              <w:jc w:val="left"/>
            </w:pPr>
            <w:r>
              <w:rPr>
                <w:rFonts w:ascii="Arial Unicode MS" w:hAnsi="Arial Unicode MS" w:eastAsia="Arial Unicode MS" w:cs="Arial Unicode MS"/>
                <w:b w:val="0"/>
                <w:i w:val="0"/>
                <w:color w:val="1F2937"/>
                <w:sz w:val="19"/>
              </w:rPr>
              <w:t>13:30—17:00</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科技金融与成果转化：具身智能专题</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高校实验室 / 科技园区 / 企业现场</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25 家 / 50 人</w:t>
            </w:r>
          </w:p>
        </w:tc>
        <w:tc>
          <w:tcPr>
            <w:tcW w:type="dxa" w:w="171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复旦住房政策研究中心 + 杨浦区科企联</w:t>
            </w:r>
          </w:p>
        </w:tc>
      </w:tr>
      <w:tr>
        <w:trPr>
          <w:cantSplit/>
        </w:trPr>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第 4 场</w:t>
            </w:r>
          </w:p>
        </w:tc>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11 月 19 日</w:t>
            </w:r>
          </w:p>
          <w:p>
            <w:pPr>
              <w:spacing w:before="10" w:after="20" w:line="270" w:lineRule="auto"/>
              <w:jc w:val="left"/>
            </w:pPr>
            <w:r>
              <w:rPr>
                <w:rFonts w:ascii="Arial Unicode MS" w:hAnsi="Arial Unicode MS" w:eastAsia="Arial Unicode MS" w:cs="Arial Unicode MS"/>
                <w:b w:val="0"/>
                <w:i w:val="0"/>
                <w:color w:val="1F2937"/>
                <w:sz w:val="19"/>
              </w:rPr>
              <w:t>（周四）</w:t>
            </w:r>
          </w:p>
          <w:p>
            <w:pPr>
              <w:spacing w:before="10" w:after="20" w:line="270" w:lineRule="auto"/>
              <w:jc w:val="left"/>
            </w:pPr>
            <w:r>
              <w:rPr>
                <w:rFonts w:ascii="Arial Unicode MS" w:hAnsi="Arial Unicode MS" w:eastAsia="Arial Unicode MS" w:cs="Arial Unicode MS"/>
                <w:b w:val="0"/>
                <w:i w:val="0"/>
                <w:color w:val="1F2937"/>
                <w:sz w:val="19"/>
              </w:rPr>
              <w:t>13:30—17:30</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产业链协同与融资路演｜AI 平台参访</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链主企业或 AI 平台现场</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30 家 / 55 人</w:t>
            </w:r>
          </w:p>
        </w:tc>
        <w:tc>
          <w:tcPr>
            <w:tcW w:type="dxa" w:w="171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市科企联 + 泰隆银行</w:t>
            </w:r>
          </w:p>
        </w:tc>
      </w:tr>
      <w:tr>
        <w:trPr>
          <w:cantSplit/>
        </w:trPr>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第 5 场</w:t>
            </w:r>
          </w:p>
        </w:tc>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12 月 17 日</w:t>
            </w:r>
          </w:p>
          <w:p>
            <w:pPr>
              <w:spacing w:before="10" w:after="20" w:line="270" w:lineRule="auto"/>
              <w:jc w:val="left"/>
            </w:pPr>
            <w:r>
              <w:rPr>
                <w:rFonts w:ascii="Arial Unicode MS" w:hAnsi="Arial Unicode MS" w:eastAsia="Arial Unicode MS" w:cs="Arial Unicode MS"/>
                <w:b w:val="0"/>
                <w:i w:val="0"/>
                <w:color w:val="1F2937"/>
                <w:sz w:val="19"/>
              </w:rPr>
              <w:t>（周四）</w:t>
            </w:r>
          </w:p>
          <w:p>
            <w:pPr>
              <w:spacing w:before="10" w:after="20" w:line="270" w:lineRule="auto"/>
              <w:jc w:val="left"/>
            </w:pPr>
            <w:r>
              <w:rPr>
                <w:rFonts w:ascii="Arial Unicode MS" w:hAnsi="Arial Unicode MS" w:eastAsia="Arial Unicode MS" w:cs="Arial Unicode MS"/>
                <w:b w:val="0"/>
                <w:i w:val="0"/>
                <w:color w:val="1F2937"/>
                <w:sz w:val="19"/>
              </w:rPr>
              <w:t>14:00—17:30</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年度成果复盘与生态共建</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泰隆银行指定会场｜年度交流会</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40 家 / 80 人</w:t>
            </w:r>
          </w:p>
        </w:tc>
        <w:tc>
          <w:tcPr>
            <w:tcW w:type="dxa" w:w="171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四方联合</w:t>
            </w:r>
          </w:p>
        </w:tc>
      </w:tr>
    </w:tbl>
    <w:p>
      <w:pPr>
        <w:spacing w:before="0" w:after="120" w:line="300" w:lineRule="auto"/>
        <w:jc w:val="left"/>
      </w:pPr>
    </w:p>
    <w:p>
      <w:pPr>
        <w:spacing w:before="0" w:after="12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FFF4D6"/>
          </w:tcPr>
          <w:p>
            <w:pPr>
              <w:spacing w:before="20" w:after="20" w:line="270" w:lineRule="auto"/>
              <w:jc w:val="left"/>
            </w:pPr>
            <w:r>
              <w:rPr>
                <w:rFonts w:ascii="Arial Unicode MS" w:hAnsi="Arial Unicode MS" w:eastAsia="Arial Unicode MS" w:cs="Arial Unicode MS"/>
                <w:b/>
                <w:i w:val="0"/>
                <w:color w:val="0B2545"/>
                <w:sz w:val="21"/>
              </w:rPr>
              <w:t>关于第 1 场的时间可行性提示</w:t>
            </w:r>
          </w:p>
          <w:p>
            <w:pPr>
              <w:spacing w:before="10" w:after="20" w:line="270" w:lineRule="auto"/>
              <w:jc w:val="left"/>
            </w:pPr>
            <w:r>
              <w:rPr>
                <w:rFonts w:ascii="Arial Unicode MS" w:hAnsi="Arial Unicode MS" w:eastAsia="Arial Unicode MS" w:cs="Arial Unicode MS"/>
                <w:b w:val="0"/>
                <w:i w:val="0"/>
                <w:color w:val="1F2937"/>
                <w:sz w:val="20"/>
              </w:rPr>
              <w:t>按标准 SOP，8 月 20 日活动的 T-30 立项时点应为 7 月 9 日，已经过期。因此第 1 场须采用 3.4 节的"压缩版倒排"（自 7 月 29 日启动，共 16 个工作日）。</w:t>
            </w:r>
          </w:p>
          <w:p>
            <w:pPr>
              <w:spacing w:before="10" w:after="20" w:line="270" w:lineRule="auto"/>
              <w:jc w:val="left"/>
            </w:pPr>
            <w:r>
              <w:rPr>
                <w:rFonts w:ascii="Arial Unicode MS" w:hAnsi="Arial Unicode MS" w:eastAsia="Arial Unicode MS" w:cs="Arial Unicode MS"/>
                <w:b w:val="0"/>
                <w:i w:val="0"/>
                <w:color w:val="1F2937"/>
                <w:sz w:val="20"/>
              </w:rPr>
              <w:t>若四方筹备会无法在 7 月 31 日前召开，建议将第 1 场顺延至 9 月 3 日（周四），并将第 2 场调整为 9 月 24 日，后续场次保持不变。二选一须在 7 月 31 日前书面确认。</w:t>
            </w:r>
          </w:p>
        </w:tc>
      </w:tr>
    </w:tbl>
    <w:p>
      <w:pPr>
        <w:spacing w:before="0" w:after="10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3.2 单场活动标准流程（以 210 分钟专题版为例）</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631"/>
        <w:gridCol w:w="1533"/>
        <w:gridCol w:w="2706"/>
        <w:gridCol w:w="1353"/>
        <w:gridCol w:w="1354"/>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时间</w:t>
            </w:r>
          </w:p>
        </w:tc>
        <w:tc>
          <w:tcPr>
            <w:tcW w:type="dxa" w:w="63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时长</w:t>
            </w:r>
          </w:p>
        </w:tc>
        <w:tc>
          <w:tcPr>
            <w:tcW w:type="dxa" w:w="153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环节</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内容</w:t>
            </w:r>
          </w:p>
        </w:tc>
        <w:tc>
          <w:tcPr>
            <w:tcW w:type="dxa" w:w="135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责任方</w:t>
            </w:r>
          </w:p>
        </w:tc>
        <w:tc>
          <w:tcPr>
            <w:tcW w:type="dxa" w:w="135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现场产出</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13:30—13:50</w:t>
            </w:r>
          </w:p>
        </w:tc>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20′</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签到与需求确认</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核验企业信息；领取分组标识；确认三类需求</w:t>
            </w:r>
          </w:p>
        </w:tc>
        <w:tc>
          <w:tcPr>
            <w:tcW w:type="dxa" w:w="135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联合会执行组</w:t>
            </w:r>
          </w:p>
        </w:tc>
        <w:tc>
          <w:tcPr>
            <w:tcW w:type="dxa" w:w="135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有效到场名单</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13:50—14:05</w:t>
            </w:r>
          </w:p>
        </w:tc>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15′</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开场与机制说明</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项目目标、三链服务、数据与合规边界（见附件 6 口径）</w:t>
            </w:r>
          </w:p>
        </w:tc>
        <w:tc>
          <w:tcPr>
            <w:tcW w:type="dxa" w:w="135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联合工作组</w:t>
            </w:r>
          </w:p>
        </w:tc>
        <w:tc>
          <w:tcPr>
            <w:tcW w:type="dxa" w:w="135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统一预期</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14:05—14:35</w:t>
            </w:r>
          </w:p>
        </w:tc>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30′</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主题分享</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 / 专家围绕当月主题给出可操作框架</w:t>
            </w:r>
          </w:p>
        </w:tc>
        <w:tc>
          <w:tcPr>
            <w:tcW w:type="dxa" w:w="135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泰隆银行 / 专家</w:t>
            </w:r>
          </w:p>
        </w:tc>
        <w:tc>
          <w:tcPr>
            <w:tcW w:type="dxa" w:w="135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知识要点</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14:35—15:10</w:t>
            </w:r>
          </w:p>
        </w:tc>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35′</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案例与企业路演</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2—4 家企业，每家 5—8 分钟 + 2 分钟点评</w:t>
            </w:r>
          </w:p>
        </w:tc>
        <w:tc>
          <w:tcPr>
            <w:tcW w:type="dxa" w:w="135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 / 生态伙伴</w:t>
            </w:r>
          </w:p>
        </w:tc>
        <w:tc>
          <w:tcPr>
            <w:tcW w:type="dxa" w:w="135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需求与能力展示</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15:10—15:25</w:t>
            </w:r>
          </w:p>
        </w:tc>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15′</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茶歇与自由对接</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客户经理定点站位，按分组标识引导</w:t>
            </w:r>
          </w:p>
        </w:tc>
        <w:tc>
          <w:tcPr>
            <w:tcW w:type="dxa" w:w="135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会务组</w:t>
            </w:r>
          </w:p>
        </w:tc>
        <w:tc>
          <w:tcPr>
            <w:tcW w:type="dxa" w:w="135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初步线索</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15:25—16:25</w:t>
            </w:r>
          </w:p>
        </w:tc>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60′</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分组问诊</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融资、出海、科技三组并行；每企完成一张服务卡</w:t>
            </w:r>
          </w:p>
        </w:tc>
        <w:tc>
          <w:tcPr>
            <w:tcW w:type="dxa" w:w="135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各通道负责人</w:t>
            </w:r>
          </w:p>
        </w:tc>
        <w:tc>
          <w:tcPr>
            <w:tcW w:type="dxa" w:w="135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服务确认卡</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16:25—16:55</w:t>
            </w:r>
          </w:p>
        </w:tc>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30′</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现场参观 / 资源交流</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银行场景、企业产线、实验室或园区参观</w:t>
            </w:r>
          </w:p>
        </w:tc>
        <w:tc>
          <w:tcPr>
            <w:tcW w:type="dxa" w:w="135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承办方</w:t>
            </w:r>
          </w:p>
        </w:tc>
        <w:tc>
          <w:tcPr>
            <w:tcW w:type="dxa" w:w="135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进一步线索</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16:55—17:00</w:t>
            </w:r>
          </w:p>
        </w:tc>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5′</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总结与下一步</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确认责任人、首次反馈时限、满意度回收</w:t>
            </w:r>
          </w:p>
        </w:tc>
        <w:tc>
          <w:tcPr>
            <w:tcW w:type="dxa" w:w="135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135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任务分派依据</w:t>
            </w:r>
          </w:p>
        </w:tc>
      </w:tr>
    </w:tbl>
    <w:p>
      <w:pPr>
        <w:spacing w:before="0" w:after="120" w:line="300" w:lineRule="auto"/>
        <w:jc w:val="left"/>
      </w:pPr>
    </w:p>
    <w:p>
      <w:pPr>
        <w:spacing w:before="60" w:after="100" w:line="300" w:lineRule="auto"/>
        <w:jc w:val="left"/>
      </w:pPr>
      <w:r>
        <w:rPr>
          <w:rFonts w:ascii="Arial Unicode MS" w:hAnsi="Arial Unicode MS" w:eastAsia="Arial Unicode MS" w:cs="Arial Unicode MS"/>
          <w:b w:val="0"/>
          <w:i w:val="0"/>
          <w:color w:val="667085"/>
          <w:sz w:val="19"/>
        </w:rPr>
        <w:t>基础版（150 分钟）可删去茶歇与现场参观环节，分组问诊压缩至 40 分钟；年度场（12 月）在此基础上增加 40 分钟的年度报告发布与次年共创研讨。</w:t>
      </w:r>
    </w:p>
    <w:p>
      <w:pPr>
        <w:pStyle w:val="Heading2"/>
        <w:keepNext/>
        <w:spacing w:before="240" w:after="100" w:line="300" w:lineRule="auto"/>
        <w:jc w:val="left"/>
      </w:pPr>
      <w:r>
        <w:rPr>
          <w:rFonts w:ascii="Arial Unicode MS" w:hAnsi="Arial Unicode MS" w:eastAsia="Arial Unicode MS" w:cs="Arial Unicode MS"/>
          <w:b/>
          <w:i w:val="0"/>
          <w:color w:val="2E74B5"/>
          <w:sz w:val="24"/>
        </w:rPr>
        <w:t>3.3 通用倒排甘特表（T-30 → T+30）</w:t>
      </w:r>
    </w:p>
    <w:p>
      <w:pPr>
        <w:spacing w:before="60" w:after="100" w:line="300" w:lineRule="auto"/>
        <w:jc w:val="left"/>
      </w:pPr>
      <w:r>
        <w:rPr>
          <w:rFonts w:ascii="Arial Unicode MS" w:hAnsi="Arial Unicode MS" w:eastAsia="Arial Unicode MS" w:cs="Arial Unicode MS"/>
          <w:b w:val="0"/>
          <w:i w:val="0"/>
          <w:color w:val="1F2937"/>
          <w:sz w:val="21"/>
        </w:rPr>
        <w:t>下表为每场活动的通用节奏，"工作日"口径统一按周一至周五计算，法定节假日顺延。每个节点均设"未完成即触发"的处置动作，避免节点被无声跳过。</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812"/>
        <w:gridCol w:w="722"/>
        <w:gridCol w:w="2526"/>
        <w:gridCol w:w="1533"/>
        <w:gridCol w:w="1624"/>
        <w:gridCol w:w="1803"/>
      </w:tblGrid>
      <w:tr>
        <w:trPr>
          <w:tblHeader w:val="true"/>
          <w:cantSplit/>
        </w:trPr>
        <w:tc>
          <w:tcPr>
            <w:tcW w:type="dxa" w:w="81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节点</w:t>
            </w:r>
          </w:p>
        </w:tc>
        <w:tc>
          <w:tcPr>
            <w:tcW w:type="dxa" w:w="72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阶段</w:t>
            </w:r>
          </w:p>
        </w:tc>
        <w:tc>
          <w:tcPr>
            <w:tcW w:type="dxa" w:w="252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关键动作</w:t>
            </w:r>
          </w:p>
        </w:tc>
        <w:tc>
          <w:tcPr>
            <w:tcW w:type="dxa" w:w="153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交付物</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c>
          <w:tcPr>
            <w:tcW w:type="dxa" w:w="180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未完成则</w:t>
            </w:r>
          </w:p>
        </w:tc>
      </w:tr>
      <w:tr>
        <w:trPr>
          <w:cantSplit/>
        </w:trPr>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T-30</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立项</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四方立项会：主题、对象、场地、预算、主讲人、KPI</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一页活动任务书</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180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本场降级为小型闭门会或顺延</w:t>
            </w:r>
          </w:p>
        </w:tc>
      </w:tr>
      <w:tr>
        <w:trPr>
          <w:cantSplit/>
        </w:trPr>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T-25</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立项</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场地与承办确认；银行确认可对外介绍的业务范围</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场地确认函、口径清单</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承办方 + 银行合规窗口</w:t>
            </w:r>
          </w:p>
        </w:tc>
        <w:tc>
          <w:tcPr>
            <w:tcW w:type="dxa" w:w="180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启用备用场地方案</w:t>
            </w:r>
          </w:p>
        </w:tc>
      </w:tr>
      <w:tr>
        <w:trPr>
          <w:cantSplit/>
        </w:trPr>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T-20</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征集</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邀请函、报名表、数据用途说明三件套发布</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三件套定稿</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联合会执行组</w:t>
            </w:r>
          </w:p>
        </w:tc>
        <w:tc>
          <w:tcPr>
            <w:tcW w:type="dxa" w:w="180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缩短征集期并扩大定向邀请</w:t>
            </w:r>
          </w:p>
        </w:tc>
      </w:tr>
      <w:tr>
        <w:trPr>
          <w:cantSplit/>
        </w:trPr>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T-15</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征集</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报名过半预警；定向补邀；预访谈排期</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报名进度表</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180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报名不足 60% 即启动定向补邀名单</w:t>
            </w:r>
          </w:p>
        </w:tc>
      </w:tr>
      <w:tr>
        <w:trPr>
          <w:cantSplit/>
        </w:trPr>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T-12</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征集</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报名截止（首轮）</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报名原始表</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数据管理员</w:t>
            </w:r>
          </w:p>
        </w:tc>
        <w:tc>
          <w:tcPr>
            <w:tcW w:type="dxa" w:w="180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延长 3 天并同步通知已报名企业</w:t>
            </w:r>
          </w:p>
        </w:tc>
      </w:tr>
      <w:tr>
        <w:trPr>
          <w:cantSplit/>
        </w:trPr>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T-10</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匹配</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 A/B/C 分层；席位确认；服务席位排班</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分层名单、匹配表</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180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未分层企业默认列为 C 类观摩</w:t>
            </w:r>
          </w:p>
        </w:tc>
      </w:tr>
      <w:tr>
        <w:trPr>
          <w:cantSplit/>
        </w:trPr>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T-7</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匹配</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主讲人讲稿初稿；路演企业辅导（见附件 10）</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讲稿、路演材料</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180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改为访谈式对话替代讲稿</w:t>
            </w:r>
          </w:p>
        </w:tc>
      </w:tr>
      <w:tr>
        <w:trPr>
          <w:cantSplit/>
        </w:trPr>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T-5</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准备</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物料下单；摄影摄像与安全报备；企业保密边界确认</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物料清单、报备回执</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会务负责人</w:t>
            </w:r>
          </w:p>
        </w:tc>
        <w:tc>
          <w:tcPr>
            <w:tcW w:type="dxa" w:w="180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削减非必要物料，保留服务卡与席卡</w:t>
            </w:r>
          </w:p>
        </w:tc>
      </w:tr>
      <w:tr>
        <w:trPr>
          <w:cantSplit/>
        </w:trPr>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T-3</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准备</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全流程彩排；应急预案过一遍</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彩排纪要</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180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延后活动或简化流程</w:t>
            </w:r>
          </w:p>
        </w:tc>
      </w:tr>
      <w:tr>
        <w:trPr>
          <w:cantSplit/>
        </w:trPr>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准备</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到场确认（电话/微信双通道）；设备网络检查；敏感内容复核</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到场确认表</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会务组 + 合规窗口</w:t>
            </w:r>
          </w:p>
        </w:tc>
        <w:tc>
          <w:tcPr>
            <w:tcW w:type="dxa" w:w="180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按实际到场率调整分组数</w:t>
            </w:r>
          </w:p>
        </w:tc>
      </w:tr>
      <w:tr>
        <w:trPr>
          <w:cantSplit/>
        </w:trPr>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 日</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执行</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签到、机制说明、分组记录、任务核对、问卷回收</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服务确认卡、问卷</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全体</w:t>
            </w:r>
          </w:p>
        </w:tc>
        <w:tc>
          <w:tcPr>
            <w:tcW w:type="dxa" w:w="180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当日资料未归档不得离场</w:t>
            </w:r>
          </w:p>
        </w:tc>
      </w:tr>
      <w:tr>
        <w:trPr>
          <w:cantSplit/>
        </w:trPr>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跟进</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企业档案、服务任务、授权记录归档；感谢信发出</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台账建档记录</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数据管理员</w:t>
            </w:r>
          </w:p>
        </w:tc>
        <w:tc>
          <w:tcPr>
            <w:tcW w:type="dxa" w:w="180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升级至项目办公室</w:t>
            </w:r>
          </w:p>
        </w:tc>
      </w:tr>
      <w:tr>
        <w:trPr>
          <w:cantSplit/>
        </w:trPr>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T+5</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跟进</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任务分派完成；主责任人与企业建立首次联系</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分派记录</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180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项目经理直接指派</w:t>
            </w:r>
          </w:p>
        </w:tc>
      </w:tr>
      <w:tr>
        <w:trPr>
          <w:cantSplit/>
        </w:trPr>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T+10</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跟进</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首次状态反馈（受理/补件/转介/暂不适配及原因）</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节点更新记录</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主责任人</w:t>
            </w:r>
          </w:p>
        </w:tc>
        <w:tc>
          <w:tcPr>
            <w:tcW w:type="dxa" w:w="180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进入逾期清单并周会通报</w:t>
            </w:r>
          </w:p>
        </w:tc>
      </w:tr>
      <w:tr>
        <w:trPr>
          <w:cantSplit/>
        </w:trPr>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T+20</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跟进</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中期催办；跨团队事项协调会</w:t>
            </w:r>
          </w:p>
        </w:tc>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协调会纪要</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180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上报指导组</w:t>
            </w:r>
          </w:p>
        </w:tc>
      </w:tr>
      <w:tr>
        <w:trPr>
          <w:cantSplit/>
        </w:trPr>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T+30</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闭环</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闭环复盘；案例授权；下一场改进事项</w:t>
            </w:r>
          </w:p>
        </w:tc>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单场复盘表</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180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不得启动下一场立项</w:t>
            </w:r>
          </w:p>
        </w:tc>
      </w:tr>
    </w:tbl>
    <w:p>
      <w:pPr>
        <w:pStyle w:val="Heading2"/>
        <w:keepNext/>
        <w:pageBreakBefore/>
        <w:spacing w:before="240" w:after="100" w:line="300" w:lineRule="auto"/>
        <w:jc w:val="left"/>
      </w:pPr>
      <w:r>
        <w:rPr>
          <w:rFonts w:ascii="Arial Unicode MS" w:hAnsi="Arial Unicode MS" w:eastAsia="Arial Unicode MS" w:cs="Arial Unicode MS"/>
          <w:b/>
          <w:i w:val="0"/>
          <w:color w:val="2E74B5"/>
          <w:sz w:val="24"/>
        </w:rPr>
        <w:t>3.4 五场活动日历倒排表（真实日期）</w:t>
      </w:r>
    </w:p>
    <w:p>
      <w:pPr>
        <w:spacing w:before="60" w:after="100" w:line="300" w:lineRule="auto"/>
        <w:jc w:val="left"/>
      </w:pPr>
      <w:r>
        <w:rPr>
          <w:rFonts w:ascii="Arial Unicode MS" w:hAnsi="Arial Unicode MS" w:eastAsia="Arial Unicode MS" w:cs="Arial Unicode MS"/>
          <w:b w:val="0"/>
          <w:i w:val="0"/>
          <w:color w:val="1F2937"/>
          <w:sz w:val="21"/>
        </w:rPr>
        <w:t>以下日期由 3.3 通用倒排按工作日折算得出，可直接导入日历或项目管理工具。所有节点均建议设为"上午 10:00 前完成"。</w:t>
      </w:r>
    </w:p>
    <w:p>
      <w:pPr>
        <w:pStyle w:val="Heading3"/>
        <w:keepNext/>
        <w:spacing w:before="180" w:after="80" w:line="300" w:lineRule="auto"/>
        <w:jc w:val="left"/>
      </w:pPr>
      <w:r>
        <w:rPr>
          <w:rFonts w:ascii="Arial Unicode MS" w:hAnsi="Arial Unicode MS" w:eastAsia="Arial Unicode MS" w:cs="Arial Unicode MS"/>
          <w:b/>
          <w:i w:val="0"/>
          <w:color w:val="0B2545"/>
          <w:sz w:val="22"/>
        </w:rPr>
        <w:t>第 1 场｜8 月 20 日（周四）· 压缩版倒排（16 个工作日）</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082"/>
        <w:gridCol w:w="722"/>
        <w:gridCol w:w="812"/>
        <w:gridCol w:w="4600"/>
        <w:gridCol w:w="1804"/>
      </w:tblGrid>
      <w:tr>
        <w:trPr>
          <w:tblHeader w:val="true"/>
          <w:cantSplit/>
        </w:trPr>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日期</w:t>
            </w:r>
          </w:p>
        </w:tc>
        <w:tc>
          <w:tcPr>
            <w:tcW w:type="dxa" w:w="72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星期</w:t>
            </w:r>
          </w:p>
        </w:tc>
        <w:tc>
          <w:tcPr>
            <w:tcW w:type="dxa" w:w="81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节点</w:t>
            </w:r>
          </w:p>
        </w:tc>
        <w:tc>
          <w:tcPr>
            <w:tcW w:type="dxa" w:w="4600"/>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关键动作</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7 月 29 日</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周三</w:t>
            </w:r>
          </w:p>
        </w:tc>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D-16</w:t>
            </w:r>
          </w:p>
        </w:tc>
        <w:tc>
          <w:tcPr>
            <w:tcW w:type="dxa" w:w="460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四方筹备会：确认首场主题、场地、预算上限、四方联系人</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7 月 31 日</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周五</w:t>
            </w:r>
          </w:p>
        </w:tc>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D-14</w:t>
            </w:r>
          </w:p>
        </w:tc>
        <w:tc>
          <w:tcPr>
            <w:tcW w:type="dxa" w:w="460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活动任务书定稿；场地锁定；银行确认对外口径清单</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项目办公室 + 银行合规窗口</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3 日</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周一</w:t>
            </w:r>
          </w:p>
        </w:tc>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D-13</w:t>
            </w:r>
          </w:p>
        </w:tc>
        <w:tc>
          <w:tcPr>
            <w:tcW w:type="dxa" w:w="460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邀请函 / 报名表 / 数据用途说明三件套发布</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联合会执行组</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7 日</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周五</w:t>
            </w:r>
          </w:p>
        </w:tc>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D-9</w:t>
            </w:r>
          </w:p>
        </w:tc>
        <w:tc>
          <w:tcPr>
            <w:tcW w:type="dxa" w:w="460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报名首轮截止；启动定向补邀</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三链负责人</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11 日</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周二</w:t>
            </w:r>
          </w:p>
        </w:tc>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D-7</w:t>
            </w:r>
          </w:p>
        </w:tc>
        <w:tc>
          <w:tcPr>
            <w:tcW w:type="dxa" w:w="460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 A/B/C 分层；席位确认；预访谈完成</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三链负责人</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13 日</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周四</w:t>
            </w:r>
          </w:p>
        </w:tc>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D-5</w:t>
            </w:r>
          </w:p>
        </w:tc>
        <w:tc>
          <w:tcPr>
            <w:tcW w:type="dxa" w:w="460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《企业—需求—负责人》匹配表定稿；服务席位排班；物料下单</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项目办公室</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17 日</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周一</w:t>
            </w:r>
          </w:p>
        </w:tc>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D-3</w:t>
            </w:r>
          </w:p>
        </w:tc>
        <w:tc>
          <w:tcPr>
            <w:tcW w:type="dxa" w:w="460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全流程彩排；主讲稿与主持稿终审；应急预案确认</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19 日</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周三</w:t>
            </w:r>
          </w:p>
        </w:tc>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D-1</w:t>
            </w:r>
          </w:p>
        </w:tc>
        <w:tc>
          <w:tcPr>
            <w:tcW w:type="dxa" w:w="460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到场确认；设备网络检查；敏感内容与摄影边界复核</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会务组</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20 日</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周四</w:t>
            </w:r>
          </w:p>
        </w:tc>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 日</w:t>
            </w:r>
          </w:p>
        </w:tc>
        <w:tc>
          <w:tcPr>
            <w:tcW w:type="dxa" w:w="460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活动执行；当日资料归档</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全体</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25 日</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周二</w:t>
            </w:r>
          </w:p>
        </w:tc>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w:t>
            </w:r>
          </w:p>
        </w:tc>
        <w:tc>
          <w:tcPr>
            <w:tcW w:type="dxa" w:w="460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档案、任务台账与授权记录归档；感谢信发出</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数据管理员</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27 日</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周四</w:t>
            </w:r>
          </w:p>
        </w:tc>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T+5</w:t>
            </w:r>
          </w:p>
        </w:tc>
        <w:tc>
          <w:tcPr>
            <w:tcW w:type="dxa" w:w="460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任务分派完成；首次联系建立</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三链负责人</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9 月 3 日</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周四</w:t>
            </w:r>
          </w:p>
        </w:tc>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T+10</w:t>
            </w:r>
          </w:p>
        </w:tc>
        <w:tc>
          <w:tcPr>
            <w:tcW w:type="dxa" w:w="460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首次状态反馈完成率不低于 90%</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主责任人</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9 月 17 日</w:t>
            </w:r>
          </w:p>
        </w:tc>
        <w:tc>
          <w:tcPr>
            <w:tcW w:type="dxa" w:w="72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周四</w:t>
            </w:r>
          </w:p>
        </w:tc>
        <w:tc>
          <w:tcPr>
            <w:tcW w:type="dxa" w:w="8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T+20</w:t>
            </w:r>
          </w:p>
        </w:tc>
        <w:tc>
          <w:tcPr>
            <w:tcW w:type="dxa" w:w="460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中期催办；与第 2 场跟进工作合并召开</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10 月 1 日</w:t>
            </w:r>
          </w:p>
        </w:tc>
        <w:tc>
          <w:tcPr>
            <w:tcW w:type="dxa" w:w="72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周四</w:t>
            </w:r>
          </w:p>
        </w:tc>
        <w:tc>
          <w:tcPr>
            <w:tcW w:type="dxa" w:w="8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T+30</w:t>
            </w:r>
          </w:p>
        </w:tc>
        <w:tc>
          <w:tcPr>
            <w:tcW w:type="dxa" w:w="460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首场闭环复盘（假期顺延至 10 月 8 日）</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项目办公室</w:t>
            </w:r>
          </w:p>
        </w:tc>
      </w:tr>
    </w:tbl>
    <w:p>
      <w:pPr>
        <w:spacing w:before="0" w:after="120" w:line="300" w:lineRule="auto"/>
        <w:jc w:val="left"/>
      </w:pPr>
    </w:p>
    <w:p>
      <w:pPr>
        <w:spacing w:before="0" w:after="14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第 2—5 场｜标准倒排关键节点对照表</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533"/>
        <w:gridCol w:w="1894"/>
        <w:gridCol w:w="1894"/>
        <w:gridCol w:w="1894"/>
        <w:gridCol w:w="1805"/>
      </w:tblGrid>
      <w:tr>
        <w:trPr>
          <w:tblHeader w:val="true"/>
          <w:cantSplit/>
        </w:trPr>
        <w:tc>
          <w:tcPr>
            <w:tcW w:type="dxa" w:w="153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节点</w:t>
            </w:r>
          </w:p>
        </w:tc>
        <w:tc>
          <w:tcPr>
            <w:tcW w:type="dxa" w:w="189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第 2 场</w:t>
            </w:r>
          </w:p>
          <w:p>
            <w:pPr>
              <w:spacing w:before="10" w:after="20" w:line="270" w:lineRule="auto"/>
              <w:jc w:val="left"/>
            </w:pPr>
            <w:r>
              <w:rPr>
                <w:rFonts w:ascii="Arial Unicode MS" w:hAnsi="Arial Unicode MS" w:eastAsia="Arial Unicode MS" w:cs="Arial Unicode MS"/>
                <w:b/>
                <w:i w:val="0"/>
                <w:color w:val="0B2545"/>
                <w:sz w:val="18"/>
              </w:rPr>
              <w:t>9 月 10 日</w:t>
            </w:r>
          </w:p>
        </w:tc>
        <w:tc>
          <w:tcPr>
            <w:tcW w:type="dxa" w:w="189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第 3 场</w:t>
            </w:r>
          </w:p>
          <w:p>
            <w:pPr>
              <w:spacing w:before="10" w:after="20" w:line="270" w:lineRule="auto"/>
              <w:jc w:val="left"/>
            </w:pPr>
            <w:r>
              <w:rPr>
                <w:rFonts w:ascii="Arial Unicode MS" w:hAnsi="Arial Unicode MS" w:eastAsia="Arial Unicode MS" w:cs="Arial Unicode MS"/>
                <w:b/>
                <w:i w:val="0"/>
                <w:color w:val="0B2545"/>
                <w:sz w:val="18"/>
              </w:rPr>
              <w:t>10 月 22 日</w:t>
            </w:r>
          </w:p>
        </w:tc>
        <w:tc>
          <w:tcPr>
            <w:tcW w:type="dxa" w:w="189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第 4 场</w:t>
            </w:r>
          </w:p>
          <w:p>
            <w:pPr>
              <w:spacing w:before="10" w:after="20" w:line="270" w:lineRule="auto"/>
              <w:jc w:val="left"/>
            </w:pPr>
            <w:r>
              <w:rPr>
                <w:rFonts w:ascii="Arial Unicode MS" w:hAnsi="Arial Unicode MS" w:eastAsia="Arial Unicode MS" w:cs="Arial Unicode MS"/>
                <w:b/>
                <w:i w:val="0"/>
                <w:color w:val="0B2545"/>
                <w:sz w:val="18"/>
              </w:rPr>
              <w:t>11 月 19 日</w:t>
            </w:r>
          </w:p>
        </w:tc>
        <w:tc>
          <w:tcPr>
            <w:tcW w:type="dxa" w:w="180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第 5 场</w:t>
            </w:r>
          </w:p>
          <w:p>
            <w:pPr>
              <w:spacing w:before="10" w:after="20" w:line="270" w:lineRule="auto"/>
              <w:jc w:val="left"/>
            </w:pPr>
            <w:r>
              <w:rPr>
                <w:rFonts w:ascii="Arial Unicode MS" w:hAnsi="Arial Unicode MS" w:eastAsia="Arial Unicode MS" w:cs="Arial Unicode MS"/>
                <w:b/>
                <w:i w:val="0"/>
                <w:color w:val="0B2545"/>
                <w:sz w:val="18"/>
              </w:rPr>
              <w:t>12 月 17 日</w:t>
            </w:r>
          </w:p>
        </w:tc>
      </w:tr>
      <w:tr>
        <w:trPr>
          <w:cantSplit/>
        </w:trPr>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T-30 立项会</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7 月 30 日（周四）</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9 月 10 日（周四）</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10 月 8 日（周四）</w:t>
            </w:r>
          </w:p>
        </w:tc>
        <w:tc>
          <w:tcPr>
            <w:tcW w:type="dxa" w:w="180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11 月 5 日（周四）</w:t>
            </w:r>
          </w:p>
        </w:tc>
      </w:tr>
      <w:tr>
        <w:trPr>
          <w:cantSplit/>
        </w:trPr>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T-20 三件套发布</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8 月 13 日（周四）</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9 月 24 日（周四）</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10 月 22 日（周四）</w:t>
            </w:r>
          </w:p>
        </w:tc>
        <w:tc>
          <w:tcPr>
            <w:tcW w:type="dxa" w:w="180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11 月 19 日（周四）</w:t>
            </w:r>
          </w:p>
        </w:tc>
      </w:tr>
      <w:tr>
        <w:trPr>
          <w:cantSplit/>
        </w:trPr>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T-12 报名截止</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8 月 21 日（周五）</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10 月 2 日→顺延 10 月 9 日</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10 月 30 日（周五）</w:t>
            </w:r>
          </w:p>
        </w:tc>
        <w:tc>
          <w:tcPr>
            <w:tcW w:type="dxa" w:w="180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11 月 27 日（周五）</w:t>
            </w:r>
          </w:p>
        </w:tc>
      </w:tr>
      <w:tr>
        <w:trPr>
          <w:cantSplit/>
        </w:trPr>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T-10 分层与匹配</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8 月 27 日（周四）</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10 月 8 日（周四）</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11 月 5 日（周四）</w:t>
            </w:r>
          </w:p>
        </w:tc>
        <w:tc>
          <w:tcPr>
            <w:tcW w:type="dxa" w:w="180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12 月 3 日（周四）</w:t>
            </w:r>
          </w:p>
        </w:tc>
      </w:tr>
      <w:tr>
        <w:trPr>
          <w:cantSplit/>
        </w:trPr>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T-3 彩排</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9 月 7 日（周一）</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10 月 19 日（周一）</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11 月 16 日（周一）</w:t>
            </w:r>
          </w:p>
        </w:tc>
        <w:tc>
          <w:tcPr>
            <w:tcW w:type="dxa" w:w="180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12 月 14 日（周一）</w:t>
            </w:r>
          </w:p>
        </w:tc>
      </w:tr>
      <w:tr>
        <w:trPr>
          <w:cantSplit/>
        </w:trPr>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T-1 到场确认</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9 月 9 日（周三）</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10 月 21 日（周三）</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11 月 18 日（周三）</w:t>
            </w:r>
          </w:p>
        </w:tc>
        <w:tc>
          <w:tcPr>
            <w:tcW w:type="dxa" w:w="180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12 月 16 日（周三）</w:t>
            </w:r>
          </w:p>
        </w:tc>
      </w:tr>
      <w:tr>
        <w:trPr>
          <w:cantSplit/>
        </w:trPr>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T 日 活动</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9 月 10 日（周四）</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10 月 22 日（周四）</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11 月 19 日（周四）</w:t>
            </w:r>
          </w:p>
        </w:tc>
        <w:tc>
          <w:tcPr>
            <w:tcW w:type="dxa" w:w="180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12 月 17 日（周四）</w:t>
            </w:r>
          </w:p>
        </w:tc>
      </w:tr>
      <w:tr>
        <w:trPr>
          <w:cantSplit/>
        </w:trPr>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T+3 归档</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9 月 15 日（周二）</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10 月 27 日（周二）</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11 月 24 日（周二）</w:t>
            </w:r>
          </w:p>
        </w:tc>
        <w:tc>
          <w:tcPr>
            <w:tcW w:type="dxa" w:w="180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12 月 22 日（周二）</w:t>
            </w:r>
          </w:p>
        </w:tc>
      </w:tr>
      <w:tr>
        <w:trPr>
          <w:cantSplit/>
        </w:trPr>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T+5 分派</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9 月 17 日（周四）</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10 月 29 日（周四）</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11 月 26 日（周四）</w:t>
            </w:r>
          </w:p>
        </w:tc>
        <w:tc>
          <w:tcPr>
            <w:tcW w:type="dxa" w:w="180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12 月 24 日（周四）</w:t>
            </w:r>
          </w:p>
        </w:tc>
      </w:tr>
      <w:tr>
        <w:trPr>
          <w:cantSplit/>
        </w:trPr>
        <w:tc>
          <w:tcPr>
            <w:tcW w:type="dxa" w:w="153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T+10 首次反馈</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9 月 24 日（周四）</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11 月 5 日（周四）</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12 月 3 日（周四）</w:t>
            </w:r>
          </w:p>
        </w:tc>
        <w:tc>
          <w:tcPr>
            <w:tcW w:type="dxa" w:w="180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12 月 31 日（周四）</w:t>
            </w:r>
          </w:p>
        </w:tc>
      </w:tr>
      <w:tr>
        <w:trPr>
          <w:cantSplit/>
        </w:trPr>
        <w:tc>
          <w:tcPr>
            <w:tcW w:type="dxa" w:w="153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T+30 闭环复盘</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10 月 22 日（周四）</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12 月 3 日（周四）</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12 月 31 日（周四）</w:t>
            </w:r>
          </w:p>
        </w:tc>
        <w:tc>
          <w:tcPr>
            <w:tcW w:type="dxa" w:w="180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2027 年 1 月 28 日</w:t>
            </w:r>
          </w:p>
        </w:tc>
      </w:tr>
    </w:tbl>
    <w:p>
      <w:pPr>
        <w:spacing w:before="0" w:after="120" w:line="300" w:lineRule="auto"/>
        <w:jc w:val="left"/>
      </w:pPr>
    </w:p>
    <w:p>
      <w:pPr>
        <w:spacing w:before="0" w:after="12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节奏叠加提示</w:t>
            </w:r>
          </w:p>
          <w:p>
            <w:pPr>
              <w:spacing w:before="10" w:after="20" w:line="270" w:lineRule="auto"/>
              <w:jc w:val="left"/>
            </w:pPr>
            <w:r>
              <w:rPr>
                <w:rFonts w:ascii="Arial Unicode MS" w:hAnsi="Arial Unicode MS" w:eastAsia="Arial Unicode MS" w:cs="Arial Unicode MS"/>
                <w:b w:val="0"/>
                <w:i w:val="0"/>
                <w:color w:val="1F2937"/>
                <w:sz w:val="20"/>
              </w:rPr>
              <w:t>第 3 场的 T-30 立项会（9 月 10 日）与第 2 场活动同日，第 4 场 T-30（10 月 8 日）与第 3 场 T-10 同日。建议固定"每周四为项目日"，将当日的立项会、匹配会、跟进周会合并在活动前后 1 小时内完成，全年只占用四方各 1 个固定半天。</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四、三个专题模块（升级为可执行子方案）</w:t>
      </w:r>
    </w:p>
    <w:p>
      <w:pPr>
        <w:spacing w:before="60" w:after="100" w:line="300" w:lineRule="auto"/>
        <w:jc w:val="left"/>
      </w:pPr>
      <w:r>
        <w:rPr>
          <w:rFonts w:ascii="Arial Unicode MS" w:hAnsi="Arial Unicode MS" w:eastAsia="Arial Unicode MS" w:cs="Arial Unicode MS"/>
          <w:b w:val="0"/>
          <w:i w:val="0"/>
          <w:color w:val="1F2937"/>
          <w:sz w:val="21"/>
        </w:rPr>
        <w:t>根据前期沟通形成的方向，将"具身智能""AI 与算力平台""东南亚出海"由候选清单升级为三个明确的专题模块，分别嵌入 9、10、11 月活动。三个模块共用同一套 SOP、同一套台账，仅在对象口径、对接路径与产出物上做专题化设计。</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FFF4D6"/>
          </w:tcPr>
          <w:p>
            <w:pPr>
              <w:spacing w:before="20" w:after="20" w:line="270" w:lineRule="auto"/>
              <w:jc w:val="left"/>
            </w:pPr>
            <w:r>
              <w:rPr>
                <w:rFonts w:ascii="Arial Unicode MS" w:hAnsi="Arial Unicode MS" w:eastAsia="Arial Unicode MS" w:cs="Arial Unicode MS"/>
                <w:b/>
                <w:i w:val="0"/>
                <w:color w:val="0B2545"/>
                <w:sz w:val="21"/>
              </w:rPr>
              <w:t>专题模块的三条红线</w:t>
            </w:r>
          </w:p>
          <w:p>
            <w:pPr>
              <w:spacing w:before="10" w:after="20" w:line="270" w:lineRule="auto"/>
              <w:jc w:val="left"/>
            </w:pPr>
            <w:r>
              <w:rPr>
                <w:rFonts w:ascii="Arial Unicode MS" w:hAnsi="Arial Unicode MS" w:eastAsia="Arial Unicode MS" w:cs="Arial Unicode MS"/>
                <w:b w:val="0"/>
                <w:i w:val="0"/>
                <w:color w:val="1F2937"/>
                <w:sz w:val="20"/>
              </w:rPr>
              <w:t>一、不预设结论。专题只做"需求调研 + 场景研究 + 资源连接"，不预设任何联名产品、专项额度或授信政策的结论。</w:t>
            </w:r>
          </w:p>
          <w:p>
            <w:pPr>
              <w:spacing w:before="10" w:after="20" w:line="270" w:lineRule="auto"/>
              <w:jc w:val="left"/>
            </w:pPr>
            <w:r>
              <w:rPr>
                <w:rFonts w:ascii="Arial Unicode MS" w:hAnsi="Arial Unicode MS" w:eastAsia="Arial Unicode MS" w:cs="Arial Unicode MS"/>
                <w:b w:val="0"/>
                <w:i w:val="0"/>
                <w:color w:val="1F2937"/>
                <w:sz w:val="20"/>
              </w:rPr>
              <w:t>二、不越权表述。涉及跨境贷款、FT 账户、跨境电商收付等业务的对外表述，一律以银行合规窗口确认的口径清单为准，参访现场不作个案承诺。</w:t>
            </w:r>
          </w:p>
          <w:p>
            <w:pPr>
              <w:spacing w:before="10" w:after="20" w:line="270" w:lineRule="auto"/>
              <w:jc w:val="left"/>
            </w:pPr>
            <w:r>
              <w:rPr>
                <w:rFonts w:ascii="Arial Unicode MS" w:hAnsi="Arial Unicode MS" w:eastAsia="Arial Unicode MS" w:cs="Arial Unicode MS"/>
                <w:b w:val="0"/>
                <w:i w:val="0"/>
                <w:color w:val="1F2937"/>
                <w:sz w:val="20"/>
              </w:rPr>
              <w:t>三、不绕开审批。任何进入产品设计阶段的构想，须分别完成法律、合规、风险、数据授权与银行内部审批，本方案不构成其立项依据。</w:t>
            </w:r>
          </w:p>
        </w:tc>
      </w:tr>
    </w:tbl>
    <w:p>
      <w:pPr>
        <w:spacing w:before="0" w:after="10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4.1 专题一｜9 月：东南亚出海与跨境经营</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7577"/>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要素</w:t>
            </w:r>
          </w:p>
        </w:tc>
        <w:tc>
          <w:tcPr>
            <w:tcW w:type="dxa" w:w="757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内容</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专题目标</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识别 30 家企业的出海阶段与跨境金融痛点，形成"出海成熟度分级 + 金融服务清单 + 专业伙伴清单"三份可交付物，并筛出 15 家进入专项服务</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对象口径</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① 已有稳定外贸 / 跨境电商业务、正筹划落地东南亚的制造与消费品企业；② 已在海外有主体或订单、存在资金出境与回流诉求的科技企业；③ 出海阶段尚早、以学习与资源摸底为主的企业（列 C 类观摩）</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银行侧内容</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跨境收付与结算路径、贸易融资产品、汇率风险管理工具、跨境电商收款与合规退税链条、自贸区账户适用场景；均按合规窗口确认口径讲授，不作个案承诺</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伙伴侧内容</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目的地国市场与准入（可邀请相关国别商协会 / 服务机构）、涉外法律与税务、知识产权与数据合规、物流与仓储；由具备资质的专业伙伴承接并披露收费关系</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与外部活动联动</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若"科创出海与人工智能峰会"（拟 9 月 12 日）如期举办，建议将本场设于 9 月 10 日形成前置对接场，参会企业名单与峰会资源做双向导流；联动方式以活动方案获批与四方书面确认为准</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核心产出物</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① 企业出海成熟度分级表（准备期/首单期/增长期/本地化期）；② 跨境金融需求清单（按币种、结算方式、金额区间归口）；③ 专业服务伙伴清单与收费披露表；④ 目的地资源图（仅收录可公开信息）</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启动条件</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银行国际业务条线确认主讲人与可公开口径；至少 2 家专业服务伙伴确认参与并完成利益冲突披露；企业名单完成合规筛查</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风险与应对</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国别政策变动导致内容失效 → 讲稿采用"框架 + 案例"结构并注明信息时点；企业跨境合规瑕疵 → 现场只做流程说明，个案一律转入银行独立尽调流程</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4.2 专题二｜10 月：具身智能与科技金融</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7577"/>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要素</w:t>
            </w:r>
          </w:p>
        </w:tc>
        <w:tc>
          <w:tcPr>
            <w:tcW w:type="dxa" w:w="757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内容</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专题目标</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让银行与生态伙伴直观理解具身智能赛道的技术分层与商业化节奏，形成可用于科技企业评估的非财务观察维度；同时为企业匹配技术、场景与融资资源</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对象口径</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① 本体与整机企业；② 关键零部件（关节、传感、执行器、电源）企业；③ 算法与具身大模型企业；④ 场景方（制造、物流、医疗、商业服务等有明确落地场景的用人单位）。名单以园区、高校成果库与联合会会员为来源，逐家取得参访授权</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参访对象选择原则</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优先选择：技术路线已通过第三方验证或已有批量订单的企业；有高校技术渊源、可延伸为产学研课题的企业；愿意开放非涉密产线或实验室的企业。低调型企业按其要求控制曝光范围与摄影边界</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银行侧内容</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科技型企业的非财务评估维度探讨（团队与技术积累、订单与客户结构、供应链与交付能力、研发投入节奏），以及科技企业常见融资场景与材料准备要点</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高校侧内容</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复旦相关团队的成果发布与技术需求揭榜；产学研合作路径与知识产权归属的一般性说明</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核心产出物</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① 技术需求卡（企业待解技术难题）；② 场景需求卡（场景方的验证与采购意向）；③ 科技企业非财务观察维度清单（研究性成果，不作为授信标准）；④ 成果对接名单</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启动条件</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参访企业书面同意接待并确认保密、知识产权、摄影与参观路线；高校成果发布内容完成脱敏；银行确认参与人员范围</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风险与应对</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赛道分化剧烈、企业估值与实际经营脱节 → 材料中明确"参访不构成投资建议"；涉密技术泄露 → 实行"无拍摄区 + 随行引导 + 材料统一回收"三项措施</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4.3 专题三｜11 月：AI 平台参访与产业链协同</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7577"/>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要素</w:t>
            </w:r>
          </w:p>
        </w:tc>
        <w:tc>
          <w:tcPr>
            <w:tcW w:type="dxa" w:w="757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内容</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专题目标</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理解 AI 生产力工具（模型、算力、云服务）在中小企业中的真实使用成本与采购方式，形成"AI 生产力需求清单"；同时以链主企业带动上下游供需对接</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对象口径</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① AI 平台 / 云与算力服务商（参访对象）；② 已在使用或计划采购 AI 能力的中小企业（参访主体）；③ 链主企业及其上下游配套企业</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调研内容</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中小企业 AI 采购的典型规模、付费方式与账期；算力与模型调用支出在成本结构中的占比；企业在采购中的资金压力点与账期错配情况</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产业链模块</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链主企业发布采购与技术需求；上下游企业路演；定向洽谈；形成供需清单与合作意向</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核心产出物</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① AI 生产力需求与支出结构调研摘要（去标识化汇总）；② 供需对接清单；③ 融资路演反馈表；④ 后续可研究问题清单</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关于创新产品构想</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关于"信贷资金用于 AI 算力/Token 采购"的场景构想，本阶段仅作为需求调研与可行性研究议题，不进入方案的产品承诺，也不作为对外宣传内容。若后续推进，须由银行独立完成场景合法性、资金用途闭环、风险计量、数据获取合规性与内部审批的完整论证</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启动条件</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平台方或链主企业确认接待并同意调研范围；调研问卷完成合规审阅；参与企业授权信息用于去标识化汇总</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风险与应对</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调研被理解为产品预告 → 所有材料加注"研究性调研，不构成产品或授信安排"；商业敏感数据 → 只收集区间值与结构占比，不收集绝对金额与合同细节</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4.4 全周期专题与调研任务一览</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212"/>
        <w:gridCol w:w="1447"/>
        <w:gridCol w:w="1872"/>
        <w:gridCol w:w="2042"/>
        <w:gridCol w:w="1447"/>
      </w:tblGrid>
      <w:tr>
        <w:trPr>
          <w:tblHeader w:val="true"/>
          <w:cantSplit/>
        </w:trPr>
        <w:tc>
          <w:tcPr>
            <w:tcW w:type="dxa" w:w="221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任务</w:t>
            </w:r>
          </w:p>
        </w:tc>
        <w:tc>
          <w:tcPr>
            <w:tcW w:type="dxa" w:w="144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所属月份</w:t>
            </w:r>
          </w:p>
        </w:tc>
        <w:tc>
          <w:tcPr>
            <w:tcW w:type="dxa" w:w="187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负责方</w:t>
            </w:r>
          </w:p>
        </w:tc>
        <w:tc>
          <w:tcPr>
            <w:tcW w:type="dxa" w:w="204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产出</w:t>
            </w:r>
          </w:p>
        </w:tc>
        <w:tc>
          <w:tcPr>
            <w:tcW w:type="dxa" w:w="144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截止</w:t>
            </w:r>
          </w:p>
        </w:tc>
      </w:tr>
      <w:tr>
        <w:trPr>
          <w:cantSplit/>
        </w:trPr>
        <w:tc>
          <w:tcPr>
            <w:tcW w:type="dxa" w:w="22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东南亚出海资源专场</w:t>
            </w:r>
          </w:p>
        </w:tc>
        <w:tc>
          <w:tcPr>
            <w:tcW w:type="dxa" w:w="14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9 月</w:t>
            </w:r>
          </w:p>
        </w:tc>
        <w:tc>
          <w:tcPr>
            <w:tcW w:type="dxa" w:w="187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市科企联 + 银行国际业务</w:t>
            </w:r>
          </w:p>
        </w:tc>
        <w:tc>
          <w:tcPr>
            <w:tcW w:type="dxa" w:w="204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三份出海清单 + 15 家专项服务企业</w:t>
            </w:r>
          </w:p>
        </w:tc>
        <w:tc>
          <w:tcPr>
            <w:tcW w:type="dxa" w:w="14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9 月 24 日（T+10）</w:t>
            </w:r>
          </w:p>
        </w:tc>
      </w:tr>
      <w:tr>
        <w:trPr>
          <w:cantSplit/>
        </w:trPr>
        <w:tc>
          <w:tcPr>
            <w:tcW w:type="dxa" w:w="22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具身智能企业深度参访</w:t>
            </w:r>
          </w:p>
        </w:tc>
        <w:tc>
          <w:tcPr>
            <w:tcW w:type="dxa" w:w="14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10 月</w:t>
            </w:r>
          </w:p>
        </w:tc>
        <w:tc>
          <w:tcPr>
            <w:tcW w:type="dxa" w:w="187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复旦中心 + 杨浦区科企联</w:t>
            </w:r>
          </w:p>
        </w:tc>
        <w:tc>
          <w:tcPr>
            <w:tcW w:type="dxa" w:w="204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技术/场景需求卡 + 成果对接名单</w:t>
            </w:r>
          </w:p>
        </w:tc>
        <w:tc>
          <w:tcPr>
            <w:tcW w:type="dxa" w:w="14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11 月 5 日（T+10）</w:t>
            </w:r>
          </w:p>
        </w:tc>
      </w:tr>
      <w:tr>
        <w:trPr>
          <w:cantSplit/>
        </w:trPr>
        <w:tc>
          <w:tcPr>
            <w:tcW w:type="dxa" w:w="22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AI 平台与算力采购调研</w:t>
            </w:r>
          </w:p>
        </w:tc>
        <w:tc>
          <w:tcPr>
            <w:tcW w:type="dxa" w:w="14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11 月</w:t>
            </w:r>
          </w:p>
        </w:tc>
        <w:tc>
          <w:tcPr>
            <w:tcW w:type="dxa" w:w="187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市科企联 + 银行</w:t>
            </w:r>
          </w:p>
        </w:tc>
        <w:tc>
          <w:tcPr>
            <w:tcW w:type="dxa" w:w="204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AI 生产力需求调研摘要</w:t>
            </w:r>
          </w:p>
        </w:tc>
        <w:tc>
          <w:tcPr>
            <w:tcW w:type="dxa" w:w="14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12 月 3 日（T+10）</w:t>
            </w:r>
          </w:p>
        </w:tc>
      </w:tr>
      <w:tr>
        <w:trPr>
          <w:cantSplit/>
        </w:trPr>
        <w:tc>
          <w:tcPr>
            <w:tcW w:type="dxa" w:w="22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跨境枢纽 / 园区调研</w:t>
            </w:r>
          </w:p>
        </w:tc>
        <w:tc>
          <w:tcPr>
            <w:tcW w:type="dxa" w:w="14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9 月或 11 月（择机）</w:t>
            </w:r>
          </w:p>
        </w:tc>
        <w:tc>
          <w:tcPr>
            <w:tcW w:type="dxa" w:w="187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项目办公室 + 银行</w:t>
            </w:r>
          </w:p>
        </w:tc>
        <w:tc>
          <w:tcPr>
            <w:tcW w:type="dxa" w:w="204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服务窗口与合作场景可行性清单</w:t>
            </w:r>
          </w:p>
        </w:tc>
        <w:tc>
          <w:tcPr>
            <w:tcW w:type="dxa" w:w="14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12 月 3 日</w:t>
            </w:r>
          </w:p>
        </w:tc>
      </w:tr>
      <w:tr>
        <w:trPr>
          <w:cantSplit/>
        </w:trPr>
        <w:tc>
          <w:tcPr>
            <w:tcW w:type="dxa" w:w="221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客户与会员需求摸排问卷</w:t>
            </w:r>
          </w:p>
        </w:tc>
        <w:tc>
          <w:tcPr>
            <w:tcW w:type="dxa" w:w="14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全周期（8 月启动）</w:t>
            </w:r>
          </w:p>
        </w:tc>
        <w:tc>
          <w:tcPr>
            <w:tcW w:type="dxa" w:w="187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数据管理员 + 三链负责人</w:t>
            </w:r>
          </w:p>
        </w:tc>
        <w:tc>
          <w:tcPr>
            <w:tcW w:type="dxa" w:w="204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AI 应用 / 出海意向分层与候选企业池</w:t>
            </w:r>
          </w:p>
        </w:tc>
        <w:tc>
          <w:tcPr>
            <w:tcW w:type="dxa" w:w="14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每月 5 日更新</w:t>
            </w:r>
          </w:p>
        </w:tc>
      </w:tr>
      <w:tr>
        <w:trPr>
          <w:cantSplit/>
        </w:trPr>
        <w:tc>
          <w:tcPr>
            <w:tcW w:type="dxa" w:w="221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年度成果报告与次年方案</w:t>
            </w:r>
          </w:p>
        </w:tc>
        <w:tc>
          <w:tcPr>
            <w:tcW w:type="dxa" w:w="14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12 月</w:t>
            </w:r>
          </w:p>
        </w:tc>
        <w:tc>
          <w:tcPr>
            <w:tcW w:type="dxa" w:w="187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204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年度报告 + 案例集 + 次年方案</w:t>
            </w:r>
          </w:p>
        </w:tc>
        <w:tc>
          <w:tcPr>
            <w:tcW w:type="dxa" w:w="14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12 月 31 日</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五、标准作业程序（SOP）</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时间口径</w:t>
            </w:r>
          </w:p>
          <w:p>
            <w:pPr>
              <w:spacing w:before="10" w:after="20" w:line="270" w:lineRule="auto"/>
              <w:jc w:val="left"/>
            </w:pPr>
            <w:r>
              <w:rPr>
                <w:rFonts w:ascii="Arial Unicode MS" w:hAnsi="Arial Unicode MS" w:eastAsia="Arial Unicode MS" w:cs="Arial Unicode MS"/>
                <w:b w:val="0"/>
                <w:i w:val="0"/>
                <w:color w:val="1F2937"/>
                <w:sz w:val="20"/>
              </w:rPr>
              <w:t>T 为活动日；所有时限均按工作日计算。遇监管、授信、跨境合规或企业资料补充事项，按实际流程调整并及时向企业说明。每一阶段均设置"完成判据"，未达判据不得进入下一阶段。</w:t>
            </w:r>
          </w:p>
        </w:tc>
      </w:tr>
    </w:tbl>
    <w:p>
      <w:pPr>
        <w:spacing w:before="0" w:after="10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5.1 阶段一：立项与策划（T-30 至 T-21）</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451"/>
        <w:gridCol w:w="4239"/>
        <w:gridCol w:w="1624"/>
        <w:gridCol w:w="2706"/>
      </w:tblGrid>
      <w:tr>
        <w:trPr>
          <w:tblHeader w:val="true"/>
          <w:cantSplit/>
        </w:trPr>
        <w:tc>
          <w:tcPr>
            <w:tcW w:type="dxa" w:w="4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序</w:t>
            </w:r>
          </w:p>
        </w:tc>
        <w:tc>
          <w:tcPr>
            <w:tcW w:type="dxa" w:w="4239"/>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动作</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完成判据</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联合工作组确认主题、目标企业、承办地点、预算上限、活动负责人和三条服务通道负责人</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四方在立项会纪要上确认，且预算获指导组签批</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泰隆银行确认可对外介绍的业务范围、主讲人、客户经理与合规审阅窗口</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银行项目联系人</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形成书面"可对外口径清单"</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形成一页活动任务书：目标、对象、规模、议程、交付物、KPI、风险点、信息采集范围</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任务书一页可打印，且 KPI 可量化</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如涉及企业现场参访，完成安全、保密、知识产权、摄影与参观路线确认</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承办方 + 被访企业</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被访企业书面回执</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5.2 阶段二：企业征集与筛选（T-20 至 T-11）</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451"/>
        <w:gridCol w:w="4239"/>
        <w:gridCol w:w="1624"/>
        <w:gridCol w:w="2706"/>
      </w:tblGrid>
      <w:tr>
        <w:trPr>
          <w:tblHeader w:val="true"/>
          <w:cantSplit/>
        </w:trPr>
        <w:tc>
          <w:tcPr>
            <w:tcW w:type="dxa" w:w="4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序</w:t>
            </w:r>
          </w:p>
        </w:tc>
        <w:tc>
          <w:tcPr>
            <w:tcW w:type="dxa" w:w="4239"/>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动作</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完成判据</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三家发起单位通过会员、课题网络、园区和定向邀请征集企业；避免无边界公开扩散</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联合会执行组</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征集渠道可追溯，每家企业有来源标记</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企业提交报名表和需求表并确认信息使用授权；敏感经营或征信材料不通过普通群聊收集</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数据管理员</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授权记录 100% 留痕</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执行组完成形式审查，通道负责人进行适配判断；必要时安排 15 分钟预访谈</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每家企业有"通过/候补/不适配"结论及理由</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按 A/B/C 分层：A 需求明确且材料较完整；B 需求明确但条件待核；C 需求尚不清晰、以学习交流为主</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A 类企业均已指定主责任人</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5</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发布入选通知、候补通知及材料准备清单</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联合会执行组</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不得出现"保证贷款""获得投资"等招募话术</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5.3 阶段三：匹配与会前准备（T-10 至 T-1）</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451"/>
        <w:gridCol w:w="4239"/>
        <w:gridCol w:w="1624"/>
        <w:gridCol w:w="2706"/>
      </w:tblGrid>
      <w:tr>
        <w:trPr>
          <w:tblHeader w:val="true"/>
          <w:cantSplit/>
        </w:trPr>
        <w:tc>
          <w:tcPr>
            <w:tcW w:type="dxa" w:w="4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序</w:t>
            </w:r>
          </w:p>
        </w:tc>
        <w:tc>
          <w:tcPr>
            <w:tcW w:type="dxa" w:w="4239"/>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动作</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完成判据</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建立《企业—需求—负责人》匹配表，每家企业原则上设置 1 名主责任人</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匹配空缺率低于 20%</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银行与专家仅接收完成服务所必需的信息；融资材料实行权限分级与留痕管理</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数据管理员 + 合规窗口</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权限清单已生成并可核查</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完成主持稿、嘉宾讲稿、席卡、签到表、服务确认卡、问卷、摄影清单与应急联系人表</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会务负责人</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附件 3 检查表全项打勾</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 完成全流程彩排；T-1 进行到场确认、场地检查和敏感内容复核</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彩排纪要 + 到场确认表</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5.4 阶段四：现场执行（T 日）</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451"/>
        <w:gridCol w:w="4239"/>
        <w:gridCol w:w="1624"/>
        <w:gridCol w:w="2706"/>
      </w:tblGrid>
      <w:tr>
        <w:trPr>
          <w:tblHeader w:val="true"/>
          <w:cantSplit/>
        </w:trPr>
        <w:tc>
          <w:tcPr>
            <w:tcW w:type="dxa" w:w="4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序</w:t>
            </w:r>
          </w:p>
        </w:tc>
        <w:tc>
          <w:tcPr>
            <w:tcW w:type="dxa" w:w="4239"/>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动作</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完成判据</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签到时核验企业与联系人；未授权者不得进入闭门诊断或领取其他企业资料</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签到组</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签到表与授权名单一致</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开场明确：不收取助贷中介费用、不承诺授信结果、不公开企业敏感信息</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主持人</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按附件 6 口径逐条宣读</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分组问诊由记录员填写服务确认卡，记录事项、责任人、补充材料和首次反馈日期</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记录员</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每企 1 张卡，字段无空缺</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涉及摄影、录音、路演材料外发或技术细节展示的，再次确认企业授权范围</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会务负责人</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授权勾选栏已填</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5</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散场前项目经理完成任务数、负责人和时限核对；资料当日归档</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当日归档回执</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5.5 阶段五：跟进与闭环（T+1 至 T+30）</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902"/>
        <w:gridCol w:w="4239"/>
        <w:gridCol w:w="1624"/>
        <w:gridCol w:w="2255"/>
      </w:tblGrid>
      <w:tr>
        <w:trPr>
          <w:tblHeader w:val="true"/>
          <w:cantSplit/>
        </w:trPr>
        <w:tc>
          <w:tcPr>
            <w:tcW w:type="dxa" w:w="90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时点</w:t>
            </w:r>
          </w:p>
        </w:tc>
        <w:tc>
          <w:tcPr>
            <w:tcW w:type="dxa" w:w="4239"/>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动作</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c>
          <w:tcPr>
            <w:tcW w:type="dxa" w:w="225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完成判据</w:t>
            </w:r>
          </w:p>
        </w:tc>
      </w:tr>
      <w:tr>
        <w:trPr>
          <w:cantSplit/>
        </w:trPr>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T+3 前</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完成企业档案、服务任务和授权记录归档，发送感谢与下一步说明</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数据管理员</w:t>
            </w:r>
          </w:p>
        </w:tc>
        <w:tc>
          <w:tcPr>
            <w:tcW w:type="dxa" w:w="22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台账建档率 100%</w:t>
            </w:r>
          </w:p>
        </w:tc>
      </w:tr>
      <w:tr>
        <w:trPr>
          <w:cantSplit/>
        </w:trPr>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T+5 前</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完成任务分派；银行、专家或生态伙伴与企业建立首次联系</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22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分派率 100%</w:t>
            </w:r>
          </w:p>
        </w:tc>
      </w:tr>
      <w:tr>
        <w:trPr>
          <w:cantSplit/>
        </w:trPr>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T+10 前</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至少反馈一次当前状态：已受理、待补材料、转介、暂不适配及原因说明</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主责任人</w:t>
            </w:r>
          </w:p>
        </w:tc>
        <w:tc>
          <w:tcPr>
            <w:tcW w:type="dxa" w:w="22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首次反馈率不低于 90%</w:t>
            </w:r>
          </w:p>
        </w:tc>
      </w:tr>
      <w:tr>
        <w:trPr>
          <w:cantSplit/>
        </w:trPr>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T+20 前</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项目经理开展中期催办；对跨团队事项组织小型协调会</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22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逾期清单清零或已升级</w:t>
            </w:r>
          </w:p>
        </w:tc>
      </w:tr>
      <w:tr>
        <w:trPr>
          <w:cantSplit/>
        </w:trPr>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T+30 前</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完成闭环复盘，任务标记为已完成 / 持续跟进 / 转介完成 / 企业暂缓 / 不适配</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22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所有任务均有终态标记</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5.6 阶段六：复盘与迭代（T+31 至下一场 T-21）</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451"/>
        <w:gridCol w:w="4239"/>
        <w:gridCol w:w="1624"/>
        <w:gridCol w:w="2706"/>
      </w:tblGrid>
      <w:tr>
        <w:trPr>
          <w:tblHeader w:val="true"/>
          <w:cantSplit/>
        </w:trPr>
        <w:tc>
          <w:tcPr>
            <w:tcW w:type="dxa" w:w="4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序</w:t>
            </w:r>
          </w:p>
        </w:tc>
        <w:tc>
          <w:tcPr>
            <w:tcW w:type="dxa" w:w="4239"/>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动作</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完成判据</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输出单场复盘表：到场、需求、任务、进度、转化、满意度、风险与改进</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复盘表在下一场立项会前分发</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423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选取可公开案例时进行匿名化处理，并取得企业对外发布的书面确认</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合规与数据窗口</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书面授权归档</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423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将共性问题转化为下一场主题、专题课程、金融服务或技术供需清单</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至少 3 条改进项进入下一场任务书</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六、三条服务链路的闭环设计</w:t>
      </w:r>
    </w:p>
    <w:p>
      <w:pPr>
        <w:pStyle w:val="Heading2"/>
        <w:keepNext/>
        <w:spacing w:before="240" w:after="100" w:line="300" w:lineRule="auto"/>
        <w:jc w:val="left"/>
      </w:pPr>
      <w:r>
        <w:rPr>
          <w:rFonts w:ascii="Arial Unicode MS" w:hAnsi="Arial Unicode MS" w:eastAsia="Arial Unicode MS" w:cs="Arial Unicode MS"/>
          <w:b/>
          <w:i w:val="0"/>
          <w:color w:val="2E74B5"/>
          <w:sz w:val="24"/>
        </w:rPr>
        <w:t>6.1 助贷与助融</w:t>
      </w:r>
    </w:p>
    <w:p>
      <w:pPr>
        <w:spacing w:before="60" w:after="100" w:line="300" w:lineRule="auto"/>
        <w:jc w:val="left"/>
      </w:pPr>
      <w:r>
        <w:rPr>
          <w:rFonts w:ascii="Arial Unicode MS" w:hAnsi="Arial Unicode MS" w:eastAsia="Arial Unicode MS" w:cs="Arial Unicode MS"/>
          <w:b w:val="0"/>
          <w:i w:val="0"/>
          <w:color w:val="1F2937"/>
          <w:sz w:val="21"/>
        </w:rPr>
        <w:t>定位：帮助企业把经营需求翻译成规范的金融需求，提高银企沟通效率；同时为暂不适配银行信贷的企业提供政策、担保、股权、产业资源等合规转介。</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082"/>
        <w:gridCol w:w="2886"/>
        <w:gridCol w:w="1624"/>
        <w:gridCol w:w="1624"/>
        <w:gridCol w:w="1804"/>
      </w:tblGrid>
      <w:tr>
        <w:trPr>
          <w:tblHeader w:val="true"/>
          <w:cantSplit/>
        </w:trPr>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环节</w:t>
            </w:r>
          </w:p>
        </w:tc>
        <w:tc>
          <w:tcPr>
            <w:tcW w:type="dxa" w:w="288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关键动作</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责任主体</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标准输出</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合规边界</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需求识别</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确认资金用途、金额区间、期限、还款来源、现有负债及紧迫性</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联合会初筛；银行复核</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融资需求卡</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仅收集必要信息</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融资体检</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经营连续性、订单、现金流、研发与设备投入、担保条件等</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泰隆银行</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材料清单与沟通建议</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不形成授信承诺</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受理 / 转介</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符合银行受理条件的进入独立流程；其他需求转合规渠道</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 / 生态伙伴</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任务编号与责任人</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禁止收取助贷撮合费用</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进度反馈</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受理、补件、审批、转介或不适配原因说明</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主责任人</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节点更新</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尊重银行审批独立性</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成果沉淀</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匿名化案例、共性材料问题、产品建议</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案例卡 / 月报</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企业书面确认后公开</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6.2 出海支持</w:t>
      </w:r>
    </w:p>
    <w:p>
      <w:pPr>
        <w:spacing w:before="60" w:after="100" w:line="300" w:lineRule="auto"/>
        <w:jc w:val="left"/>
      </w:pPr>
      <w:r>
        <w:rPr>
          <w:rFonts w:ascii="Arial Unicode MS" w:hAnsi="Arial Unicode MS" w:eastAsia="Arial Unicode MS" w:cs="Arial Unicode MS"/>
          <w:b w:val="0"/>
          <w:i w:val="0"/>
          <w:color w:val="1F2937"/>
          <w:sz w:val="21"/>
        </w:rPr>
        <w:t>定位：围绕"交易可完成、资金可管理、风险可识别、服务可连接"帮助企业建立出海基础能力。银行重点对接跨境收付、贸易融资及相关金融需求；法律、税务、知识产权、数据与目的地市场等事项由具备资质的专业伙伴承接。</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082"/>
        <w:gridCol w:w="2706"/>
        <w:gridCol w:w="1984"/>
        <w:gridCol w:w="1714"/>
        <w:gridCol w:w="1534"/>
      </w:tblGrid>
      <w:tr>
        <w:trPr>
          <w:tblHeader w:val="true"/>
          <w:cantSplit/>
        </w:trPr>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企业阶段</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主要问题</w:t>
            </w:r>
          </w:p>
        </w:tc>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参访服务</w:t>
            </w:r>
          </w:p>
        </w:tc>
        <w:tc>
          <w:tcPr>
            <w:tcW w:type="dxa" w:w="171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后续责任</w:t>
            </w:r>
          </w:p>
        </w:tc>
        <w:tc>
          <w:tcPr>
            <w:tcW w:type="dxa" w:w="153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判定标志</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准备期</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市场选择、交易结构、收款路径、知识产权与合规</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出海成熟度初测；服务伙伴匹配</w:t>
            </w:r>
          </w:p>
        </w:tc>
        <w:tc>
          <w:tcPr>
            <w:tcW w:type="dxa" w:w="171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联合会 / 专业机构</w:t>
            </w:r>
          </w:p>
        </w:tc>
        <w:tc>
          <w:tcPr>
            <w:tcW w:type="dxa" w:w="153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尚无境外收入</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首单期</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开户、跨境收付、单证、汇率波动、账期</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银行国际业务沟通；单证清单</w:t>
            </w:r>
          </w:p>
        </w:tc>
        <w:tc>
          <w:tcPr>
            <w:tcW w:type="dxa" w:w="171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泰隆银行相关团队</w:t>
            </w:r>
          </w:p>
        </w:tc>
        <w:tc>
          <w:tcPr>
            <w:tcW w:type="dxa" w:w="153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已有 1—3 笔境外交易</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增长期</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贸易融资、资金周转、跨境电商、多币种管理</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交易与资金方案诊断</w:t>
            </w:r>
          </w:p>
        </w:tc>
        <w:tc>
          <w:tcPr>
            <w:tcW w:type="dxa" w:w="171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 + 专业机构</w:t>
            </w:r>
          </w:p>
        </w:tc>
        <w:tc>
          <w:tcPr>
            <w:tcW w:type="dxa" w:w="153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境外收入占比持续上升</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本地化期</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境外主体、税务、人力、数据、供应链与品牌</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专题闭门会；目的地资源连接</w:t>
            </w:r>
          </w:p>
        </w:tc>
        <w:tc>
          <w:tcPr>
            <w:tcW w:type="dxa" w:w="171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专业机构 / 生态伙伴</w:t>
            </w:r>
          </w:p>
        </w:tc>
        <w:tc>
          <w:tcPr>
            <w:tcW w:type="dxa" w:w="153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已设境外主体或团队</w:t>
            </w:r>
          </w:p>
        </w:tc>
      </w:tr>
    </w:tbl>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6.3 科技链接</w:t>
      </w:r>
    </w:p>
    <w:p>
      <w:pPr>
        <w:spacing w:before="60" w:after="100" w:line="300" w:lineRule="auto"/>
        <w:jc w:val="left"/>
      </w:pPr>
      <w:r>
        <w:rPr>
          <w:rFonts w:ascii="Arial Unicode MS" w:hAnsi="Arial Unicode MS" w:eastAsia="Arial Unicode MS" w:cs="Arial Unicode MS"/>
          <w:b w:val="0"/>
          <w:i w:val="0"/>
          <w:color w:val="1F2937"/>
          <w:sz w:val="21"/>
        </w:rPr>
        <w:t>定位：围绕技术、场景、产业链和数智化能力，连接高校成果、企业需求、银行客户资源与园区场景。科技链接不以"技术展示"结束，而以可验证的小试、中试、采购、联合研发或数字化改造任务为闭环。</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173"/>
        <w:gridCol w:w="1984"/>
        <w:gridCol w:w="2255"/>
        <w:gridCol w:w="2165"/>
        <w:gridCol w:w="1443"/>
      </w:tblGrid>
      <w:tr>
        <w:trPr>
          <w:tblHeader w:val="true"/>
          <w:cantSplit/>
        </w:trPr>
        <w:tc>
          <w:tcPr>
            <w:tcW w:type="dxa" w:w="117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链接类型</w:t>
            </w:r>
          </w:p>
        </w:tc>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输入</w:t>
            </w:r>
          </w:p>
        </w:tc>
        <w:tc>
          <w:tcPr>
            <w:tcW w:type="dxa" w:w="225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匹配方式</w:t>
            </w:r>
          </w:p>
        </w:tc>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可交付成果</w:t>
            </w:r>
          </w:p>
        </w:tc>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闭环判据</w:t>
            </w:r>
          </w:p>
        </w:tc>
      </w:tr>
      <w:tr>
        <w:trPr>
          <w:cantSplit/>
        </w:trPr>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技术供需</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企业技术难题 / 高校成果</w:t>
            </w:r>
          </w:p>
        </w:tc>
        <w:tc>
          <w:tcPr>
            <w:tcW w:type="dxa" w:w="22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需求揭榜、专家会诊、成果路演</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技术交流纪要、验证计划、联合研发意向</w:t>
            </w:r>
          </w:p>
        </w:tc>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双方确认下一步动作与时间</w:t>
            </w:r>
          </w:p>
        </w:tc>
      </w:tr>
      <w:tr>
        <w:trPr>
          <w:cantSplit/>
        </w:trPr>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应用场景</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产品能力 / 企业或园区场景</w:t>
            </w:r>
          </w:p>
        </w:tc>
        <w:tc>
          <w:tcPr>
            <w:tcW w:type="dxa" w:w="22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场景发布、POC 对接、试用评估</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场景任务书、POC 结果、采购线索</w:t>
            </w:r>
          </w:p>
        </w:tc>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进入试用或商务洽谈</w:t>
            </w:r>
          </w:p>
        </w:tc>
      </w:tr>
      <w:tr>
        <w:trPr>
          <w:cantSplit/>
        </w:trPr>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产业链协同</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采购需求 / 供应能力</w:t>
            </w:r>
          </w:p>
        </w:tc>
        <w:tc>
          <w:tcPr>
            <w:tcW w:type="dxa" w:w="22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链主带动、上下游路演、定向洽谈</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供需清单、商务会谈、合作意向</w:t>
            </w:r>
          </w:p>
        </w:tc>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产生二次会谈记录</w:t>
            </w:r>
          </w:p>
        </w:tc>
      </w:tr>
      <w:tr>
        <w:trPr>
          <w:cantSplit/>
        </w:trPr>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数智化升级</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经营痛点 / 数字化工具</w:t>
            </w:r>
          </w:p>
        </w:tc>
        <w:tc>
          <w:tcPr>
            <w:tcW w:type="dxa" w:w="22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诊断工作坊、标杆参访、服务商匹配</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改造建议、试点范围、效益指标</w:t>
            </w:r>
          </w:p>
        </w:tc>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确定试点范围与预算区间</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七、组织机制与责任分工</w:t>
      </w:r>
    </w:p>
    <w:p>
      <w:pPr>
        <w:pStyle w:val="Heading2"/>
        <w:keepNext/>
        <w:spacing w:before="240" w:after="100" w:line="300" w:lineRule="auto"/>
        <w:jc w:val="left"/>
      </w:pPr>
      <w:r>
        <w:rPr>
          <w:rFonts w:ascii="Arial Unicode MS" w:hAnsi="Arial Unicode MS" w:eastAsia="Arial Unicode MS" w:cs="Arial Unicode MS"/>
          <w:b/>
          <w:i w:val="0"/>
          <w:color w:val="2E74B5"/>
          <w:sz w:val="24"/>
        </w:rPr>
        <w:t>7.1 联合工作组</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353"/>
        <w:gridCol w:w="2435"/>
        <w:gridCol w:w="3428"/>
        <w:gridCol w:w="1804"/>
      </w:tblGrid>
      <w:tr>
        <w:trPr>
          <w:tblHeader w:val="true"/>
          <w:cantSplit/>
        </w:trPr>
        <w:tc>
          <w:tcPr>
            <w:tcW w:type="dxa" w:w="135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角色</w:t>
            </w:r>
          </w:p>
        </w:tc>
        <w:tc>
          <w:tcPr>
            <w:tcW w:type="dxa" w:w="243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建议组成</w:t>
            </w:r>
          </w:p>
        </w:tc>
        <w:tc>
          <w:tcPr>
            <w:tcW w:type="dxa" w:w="342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核心职责</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投入强度</w:t>
            </w:r>
          </w:p>
        </w:tc>
      </w:tr>
      <w:tr>
        <w:trPr>
          <w:cantSplit/>
        </w:trPr>
        <w:tc>
          <w:tcPr>
            <w:tcW w:type="dxa" w:w="135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指导组</w:t>
            </w:r>
          </w:p>
        </w:tc>
        <w:tc>
          <w:tcPr>
            <w:tcW w:type="dxa" w:w="243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四方分管负责人各 1 名</w:t>
            </w:r>
          </w:p>
        </w:tc>
        <w:tc>
          <w:tcPr>
            <w:tcW w:type="dxa" w:w="342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审定年度方向、关键资源、对外口径与重大事项</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每季 1 次会议 + 重大事项签批</w:t>
            </w:r>
          </w:p>
        </w:tc>
      </w:tr>
      <w:tr>
        <w:trPr>
          <w:cantSplit/>
        </w:trPr>
        <w:tc>
          <w:tcPr>
            <w:tcW w:type="dxa" w:w="135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243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三家发起单位 + 泰隆银行项目联系人（共 4 人）</w:t>
            </w:r>
          </w:p>
        </w:tc>
        <w:tc>
          <w:tcPr>
            <w:tcW w:type="dxa" w:w="342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月度计划、台账、会议组织、进度催办、成果报告</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每周约 4 小时／人</w:t>
            </w:r>
          </w:p>
        </w:tc>
      </w:tr>
      <w:tr>
        <w:trPr>
          <w:cantSplit/>
        </w:trPr>
        <w:tc>
          <w:tcPr>
            <w:tcW w:type="dxa" w:w="135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243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助贷助融、出海、科技各 1 名主责</w:t>
            </w:r>
          </w:p>
        </w:tc>
        <w:tc>
          <w:tcPr>
            <w:tcW w:type="dxa" w:w="342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需求判断、资源分派、质量把关、节点反馈</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活动周约 8 小时，平常周约 2 小时</w:t>
            </w:r>
          </w:p>
        </w:tc>
      </w:tr>
      <w:tr>
        <w:trPr>
          <w:cantSplit/>
        </w:trPr>
        <w:tc>
          <w:tcPr>
            <w:tcW w:type="dxa" w:w="135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活动执行组</w:t>
            </w:r>
          </w:p>
        </w:tc>
        <w:tc>
          <w:tcPr>
            <w:tcW w:type="dxa" w:w="243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承办方、会务、主持、记录、摄影及安全人员</w:t>
            </w:r>
          </w:p>
        </w:tc>
        <w:tc>
          <w:tcPr>
            <w:tcW w:type="dxa" w:w="342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现场运行、材料管理、应急与满意度回收</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每场活动 T-5 至 T+3 集中投入</w:t>
            </w:r>
          </w:p>
        </w:tc>
      </w:tr>
      <w:tr>
        <w:trPr>
          <w:cantSplit/>
        </w:trPr>
        <w:tc>
          <w:tcPr>
            <w:tcW w:type="dxa" w:w="135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合规与数据窗口</w:t>
            </w:r>
          </w:p>
        </w:tc>
        <w:tc>
          <w:tcPr>
            <w:tcW w:type="dxa" w:w="243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银行合规 / 业务人员 + 项目数据管理员</w:t>
            </w:r>
          </w:p>
        </w:tc>
        <w:tc>
          <w:tcPr>
            <w:tcW w:type="dxa" w:w="342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宣传口径、数据授权、敏感信息与材料流转审查</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每场活动 2 个审阅节点</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7.2 RACI 责任矩阵</w:t>
      </w:r>
    </w:p>
    <w:p>
      <w:pPr>
        <w:spacing w:before="60" w:after="100" w:line="300" w:lineRule="auto"/>
        <w:jc w:val="left"/>
      </w:pPr>
      <w:r>
        <w:rPr>
          <w:rFonts w:ascii="Arial Unicode MS" w:hAnsi="Arial Unicode MS" w:eastAsia="Arial Unicode MS" w:cs="Arial Unicode MS"/>
          <w:b w:val="0"/>
          <w:i w:val="0"/>
          <w:color w:val="667085"/>
          <w:sz w:val="19"/>
        </w:rPr>
        <w:t>R = 执行（Responsible）｜A = 最终负责并签字（Accountable，每行唯一）｜C = 事前咨询（Consulted）｜I = 事后知会（Informed）。首次筹备会须在本表上逐行填入具体人名。</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102"/>
        <w:gridCol w:w="876"/>
        <w:gridCol w:w="1138"/>
        <w:gridCol w:w="1051"/>
        <w:gridCol w:w="1051"/>
        <w:gridCol w:w="876"/>
        <w:gridCol w:w="1051"/>
        <w:gridCol w:w="875"/>
      </w:tblGrid>
      <w:tr>
        <w:trPr>
          <w:tblHeader w:val="true"/>
          <w:cantSplit/>
        </w:trPr>
        <w:tc>
          <w:tcPr>
            <w:tcW w:type="dxa" w:w="210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关键任务</w:t>
            </w:r>
          </w:p>
        </w:tc>
        <w:tc>
          <w:tcPr>
            <w:tcW w:type="dxa" w:w="87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指导组</w:t>
            </w:r>
          </w:p>
        </w:tc>
        <w:tc>
          <w:tcPr>
            <w:tcW w:type="dxa" w:w="113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项目办公室</w:t>
            </w:r>
          </w:p>
        </w:tc>
        <w:tc>
          <w:tcPr>
            <w:tcW w:type="dxa" w:w="10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三链负责人</w:t>
            </w:r>
          </w:p>
        </w:tc>
        <w:tc>
          <w:tcPr>
            <w:tcW w:type="dxa" w:w="10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活动执行组</w:t>
            </w:r>
          </w:p>
        </w:tc>
        <w:tc>
          <w:tcPr>
            <w:tcW w:type="dxa" w:w="87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银行业务</w:t>
            </w:r>
          </w:p>
        </w:tc>
        <w:tc>
          <w:tcPr>
            <w:tcW w:type="dxa" w:w="10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银行合规窗口</w:t>
            </w:r>
          </w:p>
        </w:tc>
        <w:tc>
          <w:tcPr>
            <w:tcW w:type="dxa" w:w="87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生态伙伴</w:t>
            </w:r>
          </w:p>
        </w:tc>
      </w:tr>
      <w:tr>
        <w:trPr>
          <w:cantSplit/>
        </w:trPr>
        <w:tc>
          <w:tcPr>
            <w:tcW w:type="dxa" w:w="21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年度方向与场次确认</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A</w:t>
            </w:r>
          </w:p>
        </w:tc>
        <w:tc>
          <w:tcPr>
            <w:tcW w:type="dxa" w:w="1138"/>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r>
      <w:tr>
        <w:trPr>
          <w:cantSplit/>
        </w:trPr>
        <w:tc>
          <w:tcPr>
            <w:tcW w:type="dxa" w:w="21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单场主题立项与任务书</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A/R</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w:t>
            </w:r>
          </w:p>
        </w:tc>
      </w:tr>
      <w:tr>
        <w:trPr>
          <w:cantSplit/>
        </w:trPr>
        <w:tc>
          <w:tcPr>
            <w:tcW w:type="dxa" w:w="21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预算审批与费用结算</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A</w:t>
            </w:r>
          </w:p>
        </w:tc>
        <w:tc>
          <w:tcPr>
            <w:tcW w:type="dxa" w:w="1138"/>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w:t>
            </w:r>
          </w:p>
        </w:tc>
      </w:tr>
      <w:tr>
        <w:trPr>
          <w:cantSplit/>
        </w:trPr>
        <w:tc>
          <w:tcPr>
            <w:tcW w:type="dxa" w:w="21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场地与承办确认</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A</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w:t>
            </w:r>
          </w:p>
        </w:tc>
      </w:tr>
      <w:tr>
        <w:trPr>
          <w:cantSplit/>
        </w:trPr>
        <w:tc>
          <w:tcPr>
            <w:tcW w:type="dxa" w:w="21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企业征集与定向邀请</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A</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r>
      <w:tr>
        <w:trPr>
          <w:cantSplit/>
        </w:trPr>
        <w:tc>
          <w:tcPr>
            <w:tcW w:type="dxa" w:w="21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企业 A/B/C 分层</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A/R</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w:t>
            </w:r>
          </w:p>
        </w:tc>
      </w:tr>
      <w:tr>
        <w:trPr>
          <w:cantSplit/>
        </w:trPr>
        <w:tc>
          <w:tcPr>
            <w:tcW w:type="dxa" w:w="21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对外口径与宣传物料审阅</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A</w:t>
            </w:r>
          </w:p>
        </w:tc>
        <w:tc>
          <w:tcPr>
            <w:tcW w:type="dxa" w:w="87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r>
      <w:tr>
        <w:trPr>
          <w:cantSplit/>
        </w:trPr>
        <w:tc>
          <w:tcPr>
            <w:tcW w:type="dxa" w:w="21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议程、讲稿与路演辅导</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A</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87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r>
      <w:tr>
        <w:trPr>
          <w:cantSplit/>
        </w:trPr>
        <w:tc>
          <w:tcPr>
            <w:tcW w:type="dxa" w:w="21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现场执行与安全</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A/R</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r>
      <w:tr>
        <w:trPr>
          <w:cantSplit/>
        </w:trPr>
        <w:tc>
          <w:tcPr>
            <w:tcW w:type="dxa" w:w="21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服务确认卡录入与建档</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A/R</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87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r>
      <w:tr>
        <w:trPr>
          <w:cantSplit/>
        </w:trPr>
        <w:tc>
          <w:tcPr>
            <w:tcW w:type="dxa" w:w="21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任务分派与首次反馈</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A</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R</w:t>
            </w:r>
          </w:p>
        </w:tc>
      </w:tr>
      <w:tr>
        <w:trPr>
          <w:cantSplit/>
        </w:trPr>
        <w:tc>
          <w:tcPr>
            <w:tcW w:type="dxa" w:w="21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逾期升级与协调</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A/R</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r>
      <w:tr>
        <w:trPr>
          <w:cantSplit/>
        </w:trPr>
        <w:tc>
          <w:tcPr>
            <w:tcW w:type="dxa" w:w="21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8"/>
              </w:rPr>
              <w:t>案例授权与对外发布</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138"/>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R</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6"/>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A</w:t>
            </w:r>
          </w:p>
        </w:tc>
        <w:tc>
          <w:tcPr>
            <w:tcW w:type="dxa" w:w="875"/>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8"/>
              </w:rPr>
              <w:t>I</w:t>
            </w:r>
          </w:p>
        </w:tc>
      </w:tr>
      <w:tr>
        <w:trPr>
          <w:cantSplit/>
        </w:trPr>
        <w:tc>
          <w:tcPr>
            <w:tcW w:type="dxa" w:w="21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8"/>
              </w:rPr>
              <w:t>月报、复盘与年度报告</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1138"/>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A/R</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c>
          <w:tcPr>
            <w:tcW w:type="dxa" w:w="876"/>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1051"/>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C</w:t>
            </w:r>
          </w:p>
        </w:tc>
        <w:tc>
          <w:tcPr>
            <w:tcW w:type="dxa" w:w="875"/>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8"/>
              </w:rPr>
              <w:t>I</w:t>
            </w:r>
          </w:p>
        </w:tc>
      </w:tr>
    </w:tbl>
    <w:p>
      <w:pPr>
        <w:spacing w:before="0" w:after="120" w:line="300" w:lineRule="auto"/>
        <w:jc w:val="left"/>
      </w:pPr>
    </w:p>
    <w:p>
      <w:pPr>
        <w:spacing w:before="0" w:after="12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两条使用规则</w:t>
            </w:r>
          </w:p>
          <w:p>
            <w:pPr>
              <w:spacing w:before="10" w:after="20" w:line="270" w:lineRule="auto"/>
              <w:jc w:val="left"/>
            </w:pPr>
            <w:r>
              <w:rPr>
                <w:rFonts w:ascii="Arial Unicode MS" w:hAnsi="Arial Unicode MS" w:eastAsia="Arial Unicode MS" w:cs="Arial Unicode MS"/>
                <w:b w:val="0"/>
                <w:i w:val="0"/>
                <w:color w:val="1F2937"/>
                <w:sz w:val="20"/>
              </w:rPr>
              <w:t>一、每行 A 唯一。若出现两方都认为自己是 A，视为分工未定，须在立项会上当场解决，不得带入执行阶段。</w:t>
            </w:r>
          </w:p>
          <w:p>
            <w:pPr>
              <w:spacing w:before="10" w:after="20" w:line="270" w:lineRule="auto"/>
              <w:jc w:val="left"/>
            </w:pPr>
            <w:r>
              <w:rPr>
                <w:rFonts w:ascii="Arial Unicode MS" w:hAnsi="Arial Unicode MS" w:eastAsia="Arial Unicode MS" w:cs="Arial Unicode MS"/>
                <w:b w:val="0"/>
                <w:i w:val="0"/>
                <w:color w:val="1F2937"/>
                <w:sz w:val="20"/>
              </w:rPr>
              <w:t>二、A 可以授权 R，但不转移责任。节点逾期时，追责与升级指向 A，而不是指向 R。</w:t>
            </w:r>
          </w:p>
        </w:tc>
      </w:tr>
    </w:tbl>
    <w:p>
      <w:pPr>
        <w:spacing w:before="0" w:after="10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7.3 单场活动人力配置表</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902"/>
        <w:gridCol w:w="1624"/>
        <w:gridCol w:w="3067"/>
        <w:gridCol w:w="1984"/>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岗位</w:t>
            </w:r>
          </w:p>
        </w:tc>
        <w:tc>
          <w:tcPr>
            <w:tcW w:type="dxa" w:w="90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人数</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来源</w:t>
            </w:r>
          </w:p>
        </w:tc>
        <w:tc>
          <w:tcPr>
            <w:tcW w:type="dxa" w:w="306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主要职责</w:t>
            </w:r>
          </w:p>
        </w:tc>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上岗要求</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全流程统筹、节点核对、现场总控、任务分派把关</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参加过至少 1 次全流程彩排</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会务负责人</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承办方</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场地、物料、餐饮、设备、摄影、安全对接</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熟悉附件 3 检查表</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签到与引导</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联合会执行组 / 志愿者</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核验企业与授权名单、发放分组标识、指引动线</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掌握"未授权者不得入内"规则</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主持人</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联合会或银行</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开场口径宣读、节奏控制、环节衔接、收尾</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通读附件 6 与附件 10</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三链负责人</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四方各条线</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分组问诊主持、需求判断、当场确定责任人与时限</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对本条线服务边界与转介渠道熟悉</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记录员</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项目办公室 / 执行组</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每组 1 名，现场填写服务确认卡并当场与企业确认</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经过服务卡填写培训</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银行客户经理</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3—5</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泰隆银行</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现场问诊、材料清单说明、后续对接主责</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知悉可对外口径清单</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专家 / 嘉宾</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2—3</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高校、银行、专业伙伴</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主题分享、案例点评、路演反馈</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讲稿经合规窗口审阅</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数据管理员</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项目办公室</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授权记录、资料回收、当日归档、台账录入</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掌握权限分级规则</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摄影 / 传播</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承办方或外包</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按摄影清单拍摄，遵守无拍摄区规则</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签署保密与用途约定</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安全 / 引导（参访场）</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1—2</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被访企业</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参观动线、安全提示、涉密区域管控</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被访企业指定</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合计</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约 17—20 人</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其中四方内部人员约 11—13 人</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八、预算与资源投入</w:t>
      </w:r>
    </w:p>
    <w:p>
      <w:pPr>
        <w:spacing w:before="60" w:after="100" w:line="300" w:lineRule="auto"/>
        <w:jc w:val="left"/>
      </w:pPr>
      <w:r>
        <w:rPr>
          <w:rFonts w:ascii="Arial Unicode MS" w:hAnsi="Arial Unicode MS" w:eastAsia="Arial Unicode MS" w:cs="Arial Unicode MS"/>
          <w:b w:val="0"/>
          <w:i w:val="0"/>
          <w:color w:val="1F2937"/>
          <w:sz w:val="21"/>
        </w:rPr>
        <w:t>以下为建议区间，单位为人民币元，用于测算与申请预算，实际以四方各自内部流程审批与实际报价为准。所有费用不向参与企业收取。</w:t>
      </w:r>
    </w:p>
    <w:p>
      <w:pPr>
        <w:pStyle w:val="Heading2"/>
        <w:keepNext/>
        <w:spacing w:before="240" w:after="100" w:line="300" w:lineRule="auto"/>
        <w:jc w:val="left"/>
      </w:pPr>
      <w:r>
        <w:rPr>
          <w:rFonts w:ascii="Arial Unicode MS" w:hAnsi="Arial Unicode MS" w:eastAsia="Arial Unicode MS" w:cs="Arial Unicode MS"/>
          <w:b/>
          <w:i w:val="0"/>
          <w:color w:val="2E74B5"/>
          <w:sz w:val="24"/>
        </w:rPr>
        <w:t>8.1 单场预算明细（三档）</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804"/>
        <w:gridCol w:w="1804"/>
        <w:gridCol w:w="1894"/>
        <w:gridCol w:w="1894"/>
        <w:gridCol w:w="1624"/>
      </w:tblGrid>
      <w:tr>
        <w:trPr>
          <w:tblHeader w:val="true"/>
          <w:cantSplit/>
        </w:trPr>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费用项</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基础版</w:t>
            </w:r>
          </w:p>
          <w:p>
            <w:pPr>
              <w:spacing w:before="10" w:after="20" w:line="270" w:lineRule="auto"/>
              <w:jc w:val="left"/>
            </w:pPr>
            <w:r>
              <w:rPr>
                <w:rFonts w:ascii="Arial Unicode MS" w:hAnsi="Arial Unicode MS" w:eastAsia="Arial Unicode MS" w:cs="Arial Unicode MS"/>
                <w:b/>
                <w:i w:val="0"/>
                <w:color w:val="0B2545"/>
                <w:sz w:val="19"/>
              </w:rPr>
              <w:t>银行自有场地</w:t>
            </w:r>
          </w:p>
          <w:p>
            <w:pPr>
              <w:spacing w:before="10" w:after="20" w:line="270" w:lineRule="auto"/>
              <w:jc w:val="left"/>
            </w:pPr>
            <w:r>
              <w:rPr>
                <w:rFonts w:ascii="Arial Unicode MS" w:hAnsi="Arial Unicode MS" w:eastAsia="Arial Unicode MS" w:cs="Arial Unicode MS"/>
                <w:b/>
                <w:i w:val="0"/>
                <w:color w:val="0B2545"/>
                <w:sz w:val="19"/>
              </w:rPr>
              <w:t>无外请专家</w:t>
            </w:r>
          </w:p>
        </w:tc>
        <w:tc>
          <w:tcPr>
            <w:tcW w:type="dxa" w:w="189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标准版</w:t>
            </w:r>
          </w:p>
          <w:p>
            <w:pPr>
              <w:spacing w:before="10" w:after="20" w:line="270" w:lineRule="auto"/>
              <w:jc w:val="left"/>
            </w:pPr>
            <w:r>
              <w:rPr>
                <w:rFonts w:ascii="Arial Unicode MS" w:hAnsi="Arial Unicode MS" w:eastAsia="Arial Unicode MS" w:cs="Arial Unicode MS"/>
                <w:b/>
                <w:i w:val="0"/>
                <w:color w:val="0B2545"/>
                <w:sz w:val="19"/>
              </w:rPr>
              <w:t>45—55 人</w:t>
            </w:r>
          </w:p>
          <w:p>
            <w:pPr>
              <w:spacing w:before="10" w:after="20" w:line="270" w:lineRule="auto"/>
              <w:jc w:val="left"/>
            </w:pPr>
            <w:r>
              <w:rPr>
                <w:rFonts w:ascii="Arial Unicode MS" w:hAnsi="Arial Unicode MS" w:eastAsia="Arial Unicode MS" w:cs="Arial Unicode MS"/>
                <w:b/>
                <w:i w:val="0"/>
                <w:color w:val="0B2545"/>
                <w:sz w:val="19"/>
              </w:rPr>
              <w:t>1—2 位外请嘉宾</w:t>
            </w:r>
          </w:p>
        </w:tc>
        <w:tc>
          <w:tcPr>
            <w:tcW w:type="dxa" w:w="189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专题版</w:t>
            </w:r>
          </w:p>
          <w:p>
            <w:pPr>
              <w:spacing w:before="10" w:after="20" w:line="270" w:lineRule="auto"/>
              <w:jc w:val="left"/>
            </w:pPr>
            <w:r>
              <w:rPr>
                <w:rFonts w:ascii="Arial Unicode MS" w:hAnsi="Arial Unicode MS" w:eastAsia="Arial Unicode MS" w:cs="Arial Unicode MS"/>
                <w:b/>
                <w:i w:val="0"/>
                <w:color w:val="0B2545"/>
                <w:sz w:val="19"/>
              </w:rPr>
              <w:t>企业/实验室参访</w:t>
            </w:r>
          </w:p>
          <w:p>
            <w:pPr>
              <w:spacing w:before="10" w:after="20" w:line="270" w:lineRule="auto"/>
              <w:jc w:val="left"/>
            </w:pPr>
            <w:r>
              <w:rPr>
                <w:rFonts w:ascii="Arial Unicode MS" w:hAnsi="Arial Unicode MS" w:eastAsia="Arial Unicode MS" w:cs="Arial Unicode MS"/>
                <w:b/>
                <w:i w:val="0"/>
                <w:color w:val="0B2545"/>
                <w:sz w:val="19"/>
              </w:rPr>
              <w:t>含闭门会</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备注</w:t>
            </w:r>
          </w:p>
        </w:tc>
      </w:tr>
      <w:tr>
        <w:trPr>
          <w:cantSplit/>
        </w:trPr>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场地与设备</w:t>
            </w:r>
          </w:p>
        </w:tc>
        <w:tc>
          <w:tcPr>
            <w:tcW w:type="dxa" w:w="180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0—5,000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0—8,000</w:t>
            </w:r>
          </w:p>
        </w:tc>
        <w:tc>
          <w:tcPr>
            <w:tcW w:type="dxa" w:w="162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优先使用银行、园区或高校自有场地</w:t>
            </w:r>
          </w:p>
        </w:tc>
      </w:tr>
      <w:tr>
        <w:trPr>
          <w:cantSplit/>
        </w:trPr>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茶歇与简餐</w:t>
            </w:r>
          </w:p>
        </w:tc>
        <w:tc>
          <w:tcPr>
            <w:tcW w:type="dxa" w:w="180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1,500</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3,000</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4,000</w:t>
            </w:r>
          </w:p>
        </w:tc>
        <w:tc>
          <w:tcPr>
            <w:tcW w:type="dxa" w:w="162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按 60—80 元／人测算</w:t>
            </w:r>
          </w:p>
        </w:tc>
      </w:tr>
      <w:tr>
        <w:trPr>
          <w:cantSplit/>
        </w:trPr>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物料印刷</w:t>
            </w:r>
          </w:p>
        </w:tc>
        <w:tc>
          <w:tcPr>
            <w:tcW w:type="dxa" w:w="180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1,500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3,000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4,000</w:t>
            </w:r>
          </w:p>
        </w:tc>
        <w:tc>
          <w:tcPr>
            <w:tcW w:type="dxa" w:w="162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手册、席卡、服务卡、易拉宝、胸卡</w:t>
            </w:r>
          </w:p>
        </w:tc>
      </w:tr>
      <w:tr>
        <w:trPr>
          <w:cantSplit/>
        </w:trPr>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摄影摄像与后期</w:t>
            </w:r>
          </w:p>
        </w:tc>
        <w:tc>
          <w:tcPr>
            <w:tcW w:type="dxa" w:w="180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0—1,500</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2,500</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4,000</w:t>
            </w:r>
          </w:p>
        </w:tc>
        <w:tc>
          <w:tcPr>
            <w:tcW w:type="dxa" w:w="162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专题版含 1 支短视频</w:t>
            </w:r>
          </w:p>
        </w:tc>
      </w:tr>
      <w:tr>
        <w:trPr>
          <w:cantSplit/>
        </w:trPr>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专家 / 嘉宾费用</w:t>
            </w:r>
          </w:p>
        </w:tc>
        <w:tc>
          <w:tcPr>
            <w:tcW w:type="dxa" w:w="180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5,000—12,000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10,000—20,000</w:t>
            </w:r>
          </w:p>
        </w:tc>
        <w:tc>
          <w:tcPr>
            <w:tcW w:type="dxa" w:w="162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按机构规定标准，须留痕</w:t>
            </w:r>
          </w:p>
        </w:tc>
      </w:tr>
      <w:tr>
        <w:trPr>
          <w:cantSplit/>
        </w:trPr>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交通与接待</w:t>
            </w:r>
          </w:p>
        </w:tc>
        <w:tc>
          <w:tcPr>
            <w:tcW w:type="dxa" w:w="180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500</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1,500</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3,000</w:t>
            </w:r>
          </w:p>
        </w:tc>
        <w:tc>
          <w:tcPr>
            <w:tcW w:type="dxa" w:w="162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含外地嘉宾及参访摆渡</w:t>
            </w:r>
          </w:p>
        </w:tc>
      </w:tr>
      <w:tr>
        <w:trPr>
          <w:cantSplit/>
        </w:trPr>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线上传播</w:t>
            </w:r>
          </w:p>
        </w:tc>
        <w:tc>
          <w:tcPr>
            <w:tcW w:type="dxa" w:w="180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1,000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2,000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3,000</w:t>
            </w:r>
          </w:p>
        </w:tc>
        <w:tc>
          <w:tcPr>
            <w:tcW w:type="dxa" w:w="162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推文、图文直播、成果长图</w:t>
            </w:r>
          </w:p>
        </w:tc>
      </w:tr>
      <w:tr>
        <w:trPr>
          <w:cantSplit/>
        </w:trPr>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应急与杂项（约 10%）</w:t>
            </w:r>
          </w:p>
        </w:tc>
        <w:tc>
          <w:tcPr>
            <w:tcW w:type="dxa" w:w="180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600</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1,800</w:t>
            </w:r>
          </w:p>
        </w:tc>
        <w:tc>
          <w:tcPr>
            <w:tcW w:type="dxa" w:w="189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4,000</w:t>
            </w:r>
          </w:p>
        </w:tc>
        <w:tc>
          <w:tcPr>
            <w:tcW w:type="dxa" w:w="162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不可预见费</w:t>
            </w:r>
          </w:p>
        </w:tc>
      </w:tr>
      <w:tr>
        <w:trPr>
          <w:cantSplit/>
        </w:trPr>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单场合计（区间）</w:t>
            </w:r>
          </w:p>
        </w:tc>
        <w:tc>
          <w:tcPr>
            <w:tcW w:type="dxa" w:w="180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约 6,600—8,100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约 18,800—30,300</w:t>
            </w:r>
          </w:p>
        </w:tc>
        <w:tc>
          <w:tcPr>
            <w:tcW w:type="dxa" w:w="189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约 32,000—50,000</w:t>
            </w:r>
          </w:p>
        </w:tc>
        <w:tc>
          <w:tcPr>
            <w:tcW w:type="dxa" w:w="162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8.2 全周期预算汇总（2026 年 8—12 月）</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3067"/>
        <w:gridCol w:w="1082"/>
        <w:gridCol w:w="2165"/>
        <w:gridCol w:w="2706"/>
      </w:tblGrid>
      <w:tr>
        <w:trPr>
          <w:tblHeader w:val="true"/>
          <w:cantSplit/>
        </w:trPr>
        <w:tc>
          <w:tcPr>
            <w:tcW w:type="dxa" w:w="306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项目</w:t>
            </w:r>
          </w:p>
        </w:tc>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数量</w:t>
            </w:r>
          </w:p>
        </w:tc>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单价 / 区间</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小计（区间）</w:t>
            </w:r>
          </w:p>
        </w:tc>
      </w:tr>
      <w:tr>
        <w:trPr>
          <w:cantSplit/>
        </w:trPr>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第 1 场（基础版，启动场）</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 场</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6,600—8,100</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6,600—8,100</w:t>
            </w:r>
          </w:p>
        </w:tc>
      </w:tr>
      <w:tr>
        <w:trPr>
          <w:cantSplit/>
        </w:trPr>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第 2、4 场（标准版）</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 场</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18,800—30,300</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37,600—60,600</w:t>
            </w:r>
          </w:p>
        </w:tc>
      </w:tr>
      <w:tr>
        <w:trPr>
          <w:cantSplit/>
        </w:trPr>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第 3 场（专题版，实地参访）</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 场</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32,000—50,000</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32,000—50,000</w:t>
            </w:r>
          </w:p>
        </w:tc>
      </w:tr>
      <w:tr>
        <w:trPr>
          <w:cantSplit/>
        </w:trPr>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第 5 场（年度场，标准版加量）</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 场</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30,000—45,000</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30,000—45,000</w:t>
            </w:r>
          </w:p>
        </w:tc>
      </w:tr>
      <w:tr>
        <w:trPr>
          <w:cantSplit/>
        </w:trPr>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闭门诊断会</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3—5 场</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2,000—4,000</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6,000—20,000</w:t>
            </w:r>
          </w:p>
        </w:tc>
      </w:tr>
      <w:tr>
        <w:trPr>
          <w:cantSplit/>
        </w:trPr>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台账工具与表单制作</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 项</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3,000—8,000</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3,000—8,000</w:t>
            </w:r>
          </w:p>
        </w:tc>
      </w:tr>
      <w:tr>
        <w:trPr>
          <w:cantSplit/>
        </w:trPr>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年度报告设计与印刷</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 项</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10,000—18,000</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10,000—18,000</w:t>
            </w:r>
          </w:p>
        </w:tc>
      </w:tr>
      <w:tr>
        <w:trPr>
          <w:cantSplit/>
        </w:trPr>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机动与应急预备金</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 项</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10,000—15,000</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10,000—15,000</w:t>
            </w:r>
          </w:p>
        </w:tc>
      </w:tr>
      <w:tr>
        <w:trPr>
          <w:cantSplit/>
        </w:trPr>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全周期合计</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约 13.5 万 — 22.5 万元</w:t>
            </w:r>
          </w:p>
        </w:tc>
      </w:tr>
      <w:tr>
        <w:trPr>
          <w:cantSplit/>
        </w:trPr>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建议申报预算上限</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20 万元（含税，含预备金）</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8.3 费用分担与结算原则</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165"/>
        <w:gridCol w:w="2345"/>
        <w:gridCol w:w="1984"/>
        <w:gridCol w:w="2526"/>
      </w:tblGrid>
      <w:tr>
        <w:trPr>
          <w:tblHeader w:val="true"/>
          <w:cantSplit/>
        </w:trPr>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费用类型</w:t>
            </w:r>
          </w:p>
        </w:tc>
        <w:tc>
          <w:tcPr>
            <w:tcW w:type="dxa" w:w="234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建议承担方</w:t>
            </w:r>
          </w:p>
        </w:tc>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结算方式</w:t>
            </w:r>
          </w:p>
        </w:tc>
        <w:tc>
          <w:tcPr>
            <w:tcW w:type="dxa" w:w="252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合规要点</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场地、设备、茶歇</w:t>
            </w:r>
          </w:p>
        </w:tc>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当场承办方（银行 / 园区 / 高校 / 企业）</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各自内部列支，不跨方结算</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银行承办场次按其自身费用管理规定执行</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专家与嘉宾费用</w:t>
            </w:r>
          </w:p>
        </w:tc>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发起协会（项目预算）</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据实结算，凭证留档</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不由银行直接支付给企业相关方，避免利益输送观感</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物料与传播</w:t>
            </w:r>
          </w:p>
        </w:tc>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当场承办方；联合物料由项目办公室统一</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统一采购、分场结算</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含银行标识的物料须经银行窗口确认</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第三方专业服务（法律/税务等）</w:t>
            </w:r>
          </w:p>
        </w:tc>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企业自行付费或伙伴自担获客成本</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与项目预算分离</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伙伴须事前披露收费标准与商业关系</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企业参与费用</w:t>
            </w:r>
          </w:p>
        </w:tc>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不收取</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本项目全程不向企业收取任何费用，不得以任何名义收取助贷撮合费</w:t>
            </w:r>
          </w:p>
        </w:tc>
      </w:tr>
    </w:tbl>
    <w:p>
      <w:pPr>
        <w:spacing w:before="0" w:after="120" w:line="300" w:lineRule="auto"/>
        <w:jc w:val="left"/>
      </w:pPr>
    </w:p>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8.4 降本与资源替代方案</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345"/>
        <w:gridCol w:w="6675"/>
      </w:tblGrid>
      <w:tr>
        <w:trPr>
          <w:tblHeader w:val="true"/>
          <w:cantSplit/>
        </w:trPr>
        <w:tc>
          <w:tcPr>
            <w:tcW w:type="dxa" w:w="234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如果</w:t>
            </w:r>
          </w:p>
        </w:tc>
        <w:tc>
          <w:tcPr>
            <w:tcW w:type="dxa" w:w="667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那么</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预算未能一次性获批</w:t>
            </w:r>
          </w:p>
        </w:tc>
        <w:tc>
          <w:tcPr>
            <w:tcW w:type="dxa" w:w="667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前两场按基础版执行，用首场成果数据支撑后续预算申请；专题版顺延至 11 月</w:t>
            </w:r>
          </w:p>
        </w:tc>
      </w:tr>
      <w:tr>
        <w:trPr>
          <w:cantSplit/>
        </w:trPr>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外请专家费用超支</w:t>
            </w:r>
          </w:p>
        </w:tc>
        <w:tc>
          <w:tcPr>
            <w:tcW w:type="dxa" w:w="667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优先使用四方内部专家与银行条线负责人；外部嘉宾以"资源置换 + 品牌露出"替代现金支出</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场地成本过高</w:t>
            </w:r>
          </w:p>
        </w:tc>
        <w:tc>
          <w:tcPr>
            <w:tcW w:type="dxa" w:w="667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固定使用银行会议室与园区路演厅轮换；实地参访场由被访企业承担场地</w:t>
            </w:r>
          </w:p>
        </w:tc>
      </w:tr>
      <w:tr>
        <w:trPr>
          <w:cantSplit/>
        </w:trPr>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传播预算不足</w:t>
            </w:r>
          </w:p>
        </w:tc>
        <w:tc>
          <w:tcPr>
            <w:tcW w:type="dxa" w:w="667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取消短视频，保留图文推送与成果长图；由四方公众号矩阵联合分发</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人力不足</w:t>
            </w:r>
          </w:p>
        </w:tc>
        <w:tc>
          <w:tcPr>
            <w:tcW w:type="dxa" w:w="667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将签到与引导岗位合并、记录员由三链负责人兼任并事后补录，但服务确认卡不得省略</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九、企业筛选与服务分层</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263"/>
        <w:gridCol w:w="3247"/>
        <w:gridCol w:w="1984"/>
        <w:gridCol w:w="2526"/>
      </w:tblGrid>
      <w:tr>
        <w:trPr>
          <w:tblHeader w:val="true"/>
          <w:cantSplit/>
        </w:trPr>
        <w:tc>
          <w:tcPr>
            <w:tcW w:type="dxa" w:w="126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维度</w:t>
            </w:r>
          </w:p>
        </w:tc>
        <w:tc>
          <w:tcPr>
            <w:tcW w:type="dxa" w:w="324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观察要点</w:t>
            </w:r>
          </w:p>
        </w:tc>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用途</w:t>
            </w:r>
          </w:p>
        </w:tc>
        <w:tc>
          <w:tcPr>
            <w:tcW w:type="dxa" w:w="252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不达标处置</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基本适配</w:t>
            </w:r>
          </w:p>
        </w:tc>
        <w:tc>
          <w:tcPr>
            <w:tcW w:type="dxa" w:w="32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依法经营、主体明确、联系人稳定、愿意提供真实必要信息</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决定是否进入服务池</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不进入服务池，列为一般资讯对象</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需求清晰度</w:t>
            </w:r>
          </w:p>
        </w:tc>
        <w:tc>
          <w:tcPr>
            <w:tcW w:type="dxa" w:w="32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问题、目标、时点、预算 / 金额区间、内部负责人是否明确</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决定是否进入闭门诊断</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安排 15 分钟预访谈后再评估</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材料准备度</w:t>
            </w:r>
          </w:p>
        </w:tc>
        <w:tc>
          <w:tcPr>
            <w:tcW w:type="dxa" w:w="32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经营、合同、订单、财务、技术或出海材料是否可验证</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确定 A/B/C 级和会前辅导</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列 B 类并提供材料清单辅导</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成长与协同</w:t>
            </w:r>
          </w:p>
        </w:tc>
        <w:tc>
          <w:tcPr>
            <w:tcW w:type="dxa" w:w="32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产品竞争力、研发能力、产业链价值、合作开放度</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科技 / 产业链匹配</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列 C 类观摩，下期再评估</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风险与合规</w:t>
            </w:r>
          </w:p>
        </w:tc>
        <w:tc>
          <w:tcPr>
            <w:tcW w:type="dxa" w:w="32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重大诉讼、失信、异常经营、数据与跨境合规等</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决定升级审查或暂缓</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暂缓邀请并记录理由，不作负面标签传播</w:t>
            </w:r>
          </w:p>
        </w:tc>
      </w:tr>
    </w:tbl>
    <w:p>
      <w:pPr>
        <w:spacing w:before="0" w:after="120" w:line="300" w:lineRule="auto"/>
        <w:jc w:val="left"/>
      </w:pPr>
    </w:p>
    <w:p>
      <w:pPr>
        <w:spacing w:before="0" w:after="12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FFF4D6"/>
          </w:tcPr>
          <w:p>
            <w:pPr>
              <w:spacing w:before="20" w:after="20" w:line="270" w:lineRule="auto"/>
              <w:jc w:val="left"/>
            </w:pPr>
            <w:r>
              <w:rPr>
                <w:rFonts w:ascii="Arial Unicode MS" w:hAnsi="Arial Unicode MS" w:eastAsia="Arial Unicode MS" w:cs="Arial Unicode MS"/>
                <w:b/>
                <w:i w:val="0"/>
                <w:color w:val="0B2545"/>
                <w:sz w:val="21"/>
              </w:rPr>
              <w:t>分层不等于授信评级</w:t>
            </w:r>
          </w:p>
          <w:p>
            <w:pPr>
              <w:spacing w:before="10" w:after="20" w:line="270" w:lineRule="auto"/>
              <w:jc w:val="left"/>
            </w:pPr>
            <w:r>
              <w:rPr>
                <w:rFonts w:ascii="Arial Unicode MS" w:hAnsi="Arial Unicode MS" w:eastAsia="Arial Unicode MS" w:cs="Arial Unicode MS"/>
                <w:b w:val="0"/>
                <w:i w:val="0"/>
                <w:color w:val="1F2937"/>
                <w:sz w:val="20"/>
              </w:rPr>
              <w:t>A/B/C 仅用于活动组织与跟进优先级，不代表银行授信等级、审批结果或企业价值判断。分层结果不对企业公示，不用于任何对外排序或宣传。</w:t>
            </w:r>
          </w:p>
        </w:tc>
      </w:tr>
    </w:tbl>
    <w:p>
      <w:pPr>
        <w:spacing w:before="0" w:after="10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9.1 分层对应的服务包</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2706"/>
        <w:gridCol w:w="2706"/>
        <w:gridCol w:w="2165"/>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分层</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判定标准</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席位与服务</w:t>
            </w:r>
          </w:p>
        </w:tc>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跟进节奏</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A 类（约 30%）</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需求明确、材料较完整、内部有决策人</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闭门诊断席位 + 1 对 1 问诊 + 主责任人</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T+5 分派、T+10 反馈、每两周跟进</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B 类（约 45%）</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需求明确但条件待核或材料欠缺</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分组问诊 + 材料清单辅导</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T+10 反馈、每月跟进，补齐后升 A</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C 类（约 25%）</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需求尚不清晰，以学习交流为主</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观摩席位 + 通用资料包</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纳入企业池，下一场优先邀请</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十、目标指标与评估机制</w:t>
      </w:r>
    </w:p>
    <w:p>
      <w:pPr>
        <w:spacing w:before="60" w:after="100" w:line="300" w:lineRule="auto"/>
        <w:jc w:val="left"/>
      </w:pPr>
      <w:r>
        <w:rPr>
          <w:rFonts w:ascii="Arial Unicode MS" w:hAnsi="Arial Unicode MS" w:eastAsia="Arial Unicode MS" w:cs="Arial Unicode MS"/>
          <w:b w:val="0"/>
          <w:i w:val="0"/>
          <w:color w:val="1F2937"/>
          <w:sz w:val="21"/>
        </w:rPr>
        <w:t>以下为示范周期建议目标，正式数值由联合工作组在首场活动前确认。指标强调"有效服务与按时反馈"，避免以单一贷款金额评价项目。</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173"/>
        <w:gridCol w:w="3067"/>
        <w:gridCol w:w="2886"/>
        <w:gridCol w:w="1894"/>
      </w:tblGrid>
      <w:tr>
        <w:trPr>
          <w:tblHeader w:val="true"/>
          <w:cantSplit/>
        </w:trPr>
        <w:tc>
          <w:tcPr>
            <w:tcW w:type="dxa" w:w="117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维度</w:t>
            </w:r>
          </w:p>
        </w:tc>
        <w:tc>
          <w:tcPr>
            <w:tcW w:type="dxa" w:w="306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建议指标（8—12 月）</w:t>
            </w:r>
          </w:p>
        </w:tc>
        <w:tc>
          <w:tcPr>
            <w:tcW w:type="dxa" w:w="288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统计口径</w:t>
            </w:r>
          </w:p>
        </w:tc>
        <w:tc>
          <w:tcPr>
            <w:tcW w:type="dxa" w:w="189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数据来源</w:t>
            </w:r>
          </w:p>
        </w:tc>
      </w:tr>
      <w:tr>
        <w:trPr>
          <w:cantSplit/>
        </w:trPr>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活动覆盖</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5 场旗舰活动；累计参会企业不少于 100 家次</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签到且完成基本信息核验</w:t>
            </w:r>
          </w:p>
        </w:tc>
        <w:tc>
          <w:tcPr>
            <w:tcW w:type="dxa" w:w="189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签到表</w:t>
            </w:r>
          </w:p>
        </w:tc>
      </w:tr>
      <w:tr>
        <w:trPr>
          <w:cantSplit/>
        </w:trPr>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企业沉淀</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形成不少于 80 家有效企业档案</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获得授权且核心字段完整</w:t>
            </w:r>
          </w:p>
        </w:tc>
        <w:tc>
          <w:tcPr>
            <w:tcW w:type="dxa" w:w="189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企业池表</w:t>
            </w:r>
          </w:p>
        </w:tc>
      </w:tr>
      <w:tr>
        <w:trPr>
          <w:cantSplit/>
        </w:trPr>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需求识别</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形成不少于 50 项有效需求</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问题、目标、责任人、时限至少四项明确</w:t>
            </w:r>
          </w:p>
        </w:tc>
        <w:tc>
          <w:tcPr>
            <w:tcW w:type="dxa" w:w="189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任务台账</w:t>
            </w:r>
          </w:p>
        </w:tc>
      </w:tr>
      <w:tr>
        <w:trPr>
          <w:cantSplit/>
        </w:trPr>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助贷助融</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不少于 30 家进入正式沟通或合规转介</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产生可验证的受理、补件、转介或反馈记录</w:t>
            </w:r>
          </w:p>
        </w:tc>
        <w:tc>
          <w:tcPr>
            <w:tcW w:type="dxa" w:w="189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任务台账 + 银行侧记录</w:t>
            </w:r>
          </w:p>
        </w:tc>
      </w:tr>
      <w:tr>
        <w:trPr>
          <w:cantSplit/>
        </w:trPr>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出海支持</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不少于 15 家进入专项服务</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国际业务或专业服务伙伴首次反馈完成</w:t>
            </w:r>
          </w:p>
        </w:tc>
        <w:tc>
          <w:tcPr>
            <w:tcW w:type="dxa" w:w="189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任务台账</w:t>
            </w:r>
          </w:p>
        </w:tc>
      </w:tr>
      <w:tr>
        <w:trPr>
          <w:cantSplit/>
        </w:trPr>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科技链接</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不少于 20 项供需匹配；不少于 5 项进入验证 / 洽谈</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双方确认对接且形成后续动作</w:t>
            </w:r>
          </w:p>
        </w:tc>
        <w:tc>
          <w:tcPr>
            <w:tcW w:type="dxa" w:w="189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技术/场景需求卡</w:t>
            </w:r>
          </w:p>
        </w:tc>
      </w:tr>
      <w:tr>
        <w:trPr>
          <w:cantSplit/>
        </w:trPr>
        <w:tc>
          <w:tcPr>
            <w:tcW w:type="dxa" w:w="11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服务时效</w:t>
            </w:r>
          </w:p>
        </w:tc>
        <w:tc>
          <w:tcPr>
            <w:tcW w:type="dxa" w:w="306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任务分派率 100%；10 日首次反馈率不低于 90%</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以任务台账时间戳统计</w:t>
            </w:r>
          </w:p>
        </w:tc>
        <w:tc>
          <w:tcPr>
            <w:tcW w:type="dxa" w:w="189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台账系统</w:t>
            </w:r>
          </w:p>
        </w:tc>
      </w:tr>
      <w:tr>
        <w:trPr>
          <w:cantSplit/>
        </w:trPr>
        <w:tc>
          <w:tcPr>
            <w:tcW w:type="dxa" w:w="11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活动质量</w:t>
            </w:r>
          </w:p>
        </w:tc>
        <w:tc>
          <w:tcPr>
            <w:tcW w:type="dxa" w:w="306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满意度不低于 90%；有效建议闭环率不低于 80%</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活动问卷及改进台账</w:t>
            </w:r>
          </w:p>
        </w:tc>
        <w:tc>
          <w:tcPr>
            <w:tcW w:type="dxa" w:w="189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问卷 + 复盘表</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10.1 分月目标分解</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526"/>
        <w:gridCol w:w="1082"/>
        <w:gridCol w:w="1082"/>
        <w:gridCol w:w="1082"/>
        <w:gridCol w:w="1082"/>
        <w:gridCol w:w="1082"/>
        <w:gridCol w:w="1084"/>
      </w:tblGrid>
      <w:tr>
        <w:trPr>
          <w:tblHeader w:val="true"/>
          <w:cantSplit/>
        </w:trPr>
        <w:tc>
          <w:tcPr>
            <w:tcW w:type="dxa" w:w="252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指标</w:t>
            </w:r>
          </w:p>
        </w:tc>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8 月</w:t>
            </w:r>
          </w:p>
        </w:tc>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9 月</w:t>
            </w:r>
          </w:p>
        </w:tc>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10 月</w:t>
            </w:r>
          </w:p>
        </w:tc>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11 月</w:t>
            </w:r>
          </w:p>
        </w:tc>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12 月</w:t>
            </w:r>
          </w:p>
        </w:tc>
        <w:tc>
          <w:tcPr>
            <w:tcW w:type="dxa" w:w="10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累计</w:t>
            </w:r>
          </w:p>
        </w:tc>
      </w:tr>
      <w:tr>
        <w:trPr>
          <w:cantSplit/>
        </w:trPr>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参会企业（家次）</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25</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30</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25</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30</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40</w:t>
            </w:r>
          </w:p>
        </w:tc>
        <w:tc>
          <w:tcPr>
            <w:tcW w:type="dxa" w:w="108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150</w:t>
            </w:r>
          </w:p>
        </w:tc>
      </w:tr>
      <w:tr>
        <w:trPr>
          <w:cantSplit/>
        </w:trPr>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新增有效档案（家）</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20</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20</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15</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15</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10</w:t>
            </w:r>
          </w:p>
        </w:tc>
        <w:tc>
          <w:tcPr>
            <w:tcW w:type="dxa" w:w="108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80</w:t>
            </w:r>
          </w:p>
        </w:tc>
      </w:tr>
      <w:tr>
        <w:trPr>
          <w:cantSplit/>
        </w:trPr>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新增有效需求（项）</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10</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12</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10</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12</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6</w:t>
            </w:r>
          </w:p>
        </w:tc>
        <w:tc>
          <w:tcPr>
            <w:tcW w:type="dxa" w:w="108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50</w:t>
            </w:r>
          </w:p>
        </w:tc>
      </w:tr>
      <w:tr>
        <w:trPr>
          <w:cantSplit/>
        </w:trPr>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助贷助融进入沟通（家）</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6</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6</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6</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7</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5</w:t>
            </w:r>
          </w:p>
        </w:tc>
        <w:tc>
          <w:tcPr>
            <w:tcW w:type="dxa" w:w="108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30</w:t>
            </w:r>
          </w:p>
        </w:tc>
      </w:tr>
      <w:tr>
        <w:trPr>
          <w:cantSplit/>
        </w:trPr>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出海专项服务（家）</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8</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2</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3</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w:t>
            </w:r>
          </w:p>
        </w:tc>
        <w:tc>
          <w:tcPr>
            <w:tcW w:type="dxa" w:w="108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15</w:t>
            </w:r>
          </w:p>
        </w:tc>
      </w:tr>
      <w:tr>
        <w:trPr>
          <w:cantSplit/>
        </w:trPr>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科技供需匹配（项）</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1</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2</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9</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7</w:t>
            </w:r>
          </w:p>
        </w:tc>
        <w:tc>
          <w:tcPr>
            <w:tcW w:type="dxa" w:w="1082"/>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1</w:t>
            </w:r>
          </w:p>
        </w:tc>
        <w:tc>
          <w:tcPr>
            <w:tcW w:type="dxa" w:w="1084"/>
            <w:tcMar>
              <w:top w:w="70" w:type="dxa"/>
              <w:left w:w="110" w:type="dxa"/>
              <w:bottom w:w="70" w:type="dxa"/>
              <w:right w:w="110" w:type="dxa"/>
            </w:tcMar>
            <w:shd w:val="clear" w:color="auto" w:fill="FAFBFC"/>
          </w:tcPr>
          <w:p>
            <w:pPr>
              <w:spacing w:before="20" w:after="20" w:line="270" w:lineRule="auto"/>
              <w:jc w:val="center"/>
            </w:pPr>
            <w:r>
              <w:rPr>
                <w:rFonts w:ascii="Arial Unicode MS" w:hAnsi="Arial Unicode MS" w:eastAsia="Arial Unicode MS" w:cs="Arial Unicode MS"/>
                <w:b w:val="0"/>
                <w:i w:val="0"/>
                <w:color w:val="1F2937"/>
                <w:sz w:val="19"/>
              </w:rPr>
              <w:t>20</w:t>
            </w:r>
          </w:p>
        </w:tc>
      </w:tr>
      <w:tr>
        <w:trPr>
          <w:cantSplit/>
        </w:trPr>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闭门诊断会（场）</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0</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w:t>
            </w:r>
          </w:p>
        </w:tc>
        <w:tc>
          <w:tcPr>
            <w:tcW w:type="dxa" w:w="1082"/>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1</w:t>
            </w:r>
          </w:p>
        </w:tc>
        <w:tc>
          <w:tcPr>
            <w:tcW w:type="dxa" w:w="1084"/>
            <w:tcMar>
              <w:top w:w="70" w:type="dxa"/>
              <w:left w:w="110" w:type="dxa"/>
              <w:bottom w:w="70" w:type="dxa"/>
              <w:right w:w="110" w:type="dxa"/>
            </w:tcMar>
            <w:shd w:val="clear" w:color="auto" w:fill="FFFFFF"/>
          </w:tcPr>
          <w:p>
            <w:pPr>
              <w:spacing w:before="20" w:after="20" w:line="270" w:lineRule="auto"/>
              <w:jc w:val="center"/>
            </w:pPr>
            <w:r>
              <w:rPr>
                <w:rFonts w:ascii="Arial Unicode MS" w:hAnsi="Arial Unicode MS" w:eastAsia="Arial Unicode MS" w:cs="Arial Unicode MS"/>
                <w:b w:val="0"/>
                <w:i w:val="0"/>
                <w:color w:val="1F2937"/>
                <w:sz w:val="19"/>
              </w:rPr>
              <w:t>4</w:t>
            </w:r>
          </w:p>
        </w:tc>
      </w:tr>
    </w:tbl>
    <w:p>
      <w:pPr>
        <w:spacing w:before="0" w:after="120" w:line="300" w:lineRule="auto"/>
        <w:jc w:val="left"/>
      </w:pPr>
    </w:p>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10.2 评估与纠偏机制</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082"/>
        <w:gridCol w:w="3428"/>
        <w:gridCol w:w="4510"/>
      </w:tblGrid>
      <w:tr>
        <w:trPr>
          <w:tblHeader w:val="true"/>
          <w:cantSplit/>
        </w:trPr>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时点</w:t>
            </w:r>
          </w:p>
        </w:tc>
        <w:tc>
          <w:tcPr>
            <w:tcW w:type="dxa" w:w="342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评估动作</w:t>
            </w:r>
          </w:p>
        </w:tc>
        <w:tc>
          <w:tcPr>
            <w:tcW w:type="dxa" w:w="4510"/>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纠偏触发线</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每场 T+30</w:t>
            </w:r>
          </w:p>
        </w:tc>
        <w:tc>
          <w:tcPr>
            <w:tcW w:type="dxa" w:w="342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单场复盘表；对照分月目标核对完成率</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任一指标完成率低于 70%，下一场任务书须包含专项改进项</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10 月中</w:t>
            </w:r>
          </w:p>
        </w:tc>
        <w:tc>
          <w:tcPr>
            <w:tcW w:type="dxa" w:w="342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中期复盘：三条通道各自的转化效率与瓶颈</w:t>
            </w:r>
          </w:p>
        </w:tc>
        <w:tc>
          <w:tcPr>
            <w:tcW w:type="dxa" w:w="451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若某条通道累计有效需求不足 8 项，重新评估该通道的资源配置</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12 月中</w:t>
            </w:r>
          </w:p>
        </w:tc>
        <w:tc>
          <w:tcPr>
            <w:tcW w:type="dxa" w:w="342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年度复盘：成果报告、案例集、次年方案</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若全周期首次反馈率低于 85%，次年方案须先解决人力与工具问题再扩场次</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随时</w:t>
            </w:r>
          </w:p>
        </w:tc>
        <w:tc>
          <w:tcPr>
            <w:tcW w:type="dxa" w:w="342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逾期事项周会通报</w:t>
            </w:r>
          </w:p>
        </w:tc>
        <w:tc>
          <w:tcPr>
            <w:tcW w:type="dxa" w:w="451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同一主责任人连续两次逾期，由 A 角直接接管该任务</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十一、数据与台账工具</w:t>
      </w:r>
    </w:p>
    <w:p>
      <w:pPr>
        <w:spacing w:before="60" w:after="100" w:line="300" w:lineRule="auto"/>
        <w:jc w:val="left"/>
      </w:pPr>
      <w:r>
        <w:rPr>
          <w:rFonts w:ascii="Arial Unicode MS" w:hAnsi="Arial Unicode MS" w:eastAsia="Arial Unicode MS" w:cs="Arial Unicode MS"/>
          <w:b w:val="0"/>
          <w:i w:val="0"/>
          <w:color w:val="1F2937"/>
          <w:sz w:val="21"/>
        </w:rPr>
        <w:t>建议以三张表构成最小可用工具集，用共享表格或轻量项目管理工具承载，不必一次性上系统。三张表之间以"企业编号"和"任务编号"关联。</w:t>
      </w:r>
    </w:p>
    <w:p>
      <w:pPr>
        <w:pStyle w:val="Heading2"/>
        <w:keepNext/>
        <w:spacing w:before="240" w:after="100" w:line="300" w:lineRule="auto"/>
        <w:jc w:val="left"/>
      </w:pPr>
      <w:r>
        <w:rPr>
          <w:rFonts w:ascii="Arial Unicode MS" w:hAnsi="Arial Unicode MS" w:eastAsia="Arial Unicode MS" w:cs="Arial Unicode MS"/>
          <w:b/>
          <w:i w:val="0"/>
          <w:color w:val="2E74B5"/>
          <w:sz w:val="24"/>
        </w:rPr>
        <w:t>11.1 表一：企业服务池（主表）</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345"/>
        <w:gridCol w:w="3969"/>
        <w:gridCol w:w="902"/>
        <w:gridCol w:w="1804"/>
      </w:tblGrid>
      <w:tr>
        <w:trPr>
          <w:tblHeader w:val="true"/>
          <w:cantSplit/>
        </w:trPr>
        <w:tc>
          <w:tcPr>
            <w:tcW w:type="dxa" w:w="234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字段</w:t>
            </w:r>
          </w:p>
        </w:tc>
        <w:tc>
          <w:tcPr>
            <w:tcW w:type="dxa" w:w="3969"/>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说明 / 取值</w:t>
            </w:r>
          </w:p>
        </w:tc>
        <w:tc>
          <w:tcPr>
            <w:tcW w:type="dxa" w:w="90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必填</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权限</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企业编号</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格式：YP/SH + 年份 + 四位序号，如 YP2026-0018</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全体</w:t>
            </w:r>
          </w:p>
        </w:tc>
      </w:tr>
      <w:tr>
        <w:trPr>
          <w:cantSplit/>
        </w:trPr>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企业名称 / 统一社会信用代码</w:t>
            </w:r>
          </w:p>
        </w:tc>
        <w:tc>
          <w:tcPr>
            <w:tcW w:type="dxa" w:w="396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与营业执照一致</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 + 银行</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成立时间 / 所属行业 / 主要经营地</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用于分层与主题匹配</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全体</w:t>
            </w:r>
          </w:p>
        </w:tc>
      </w:tr>
      <w:tr>
        <w:trPr>
          <w:cantSplit/>
        </w:trPr>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联系人（姓名/职务/手机/邮箱）</w:t>
            </w:r>
          </w:p>
        </w:tc>
        <w:tc>
          <w:tcPr>
            <w:tcW w:type="dxa" w:w="396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注明是否为本项目内部决策人</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 + 主责任人</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来源渠道</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会员 / 园区 / 银行推荐 / 高校 / 定向邀请</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全体</w:t>
            </w:r>
          </w:p>
        </w:tc>
      </w:tr>
      <w:tr>
        <w:trPr>
          <w:cantSplit/>
        </w:trPr>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首次触达场次</w:t>
            </w:r>
          </w:p>
        </w:tc>
        <w:tc>
          <w:tcPr>
            <w:tcW w:type="dxa" w:w="396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关联具体活动编号</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全体</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三链需求标记</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助贷助融 / 出海 / 科技，可多选</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全体</w:t>
            </w:r>
          </w:p>
        </w:tc>
      </w:tr>
      <w:tr>
        <w:trPr>
          <w:cantSplit/>
        </w:trPr>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分层</w:t>
            </w:r>
          </w:p>
        </w:tc>
        <w:tc>
          <w:tcPr>
            <w:tcW w:type="dxa" w:w="396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A / B / C</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项目办 + 三链负责人</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授权状态</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已授权 / 部分授权 / 已撤回；含授权日期与范围</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数据管理员 + 合规窗口</w:t>
            </w:r>
          </w:p>
        </w:tc>
      </w:tr>
      <w:tr>
        <w:trPr>
          <w:cantSplit/>
        </w:trPr>
        <w:tc>
          <w:tcPr>
            <w:tcW w:type="dxa" w:w="234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敏感材料存放位置</w:t>
            </w:r>
          </w:p>
        </w:tc>
        <w:tc>
          <w:tcPr>
            <w:tcW w:type="dxa" w:w="396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仅记录存放渠道，不在本表存放材料本身</w:t>
            </w:r>
          </w:p>
        </w:tc>
        <w:tc>
          <w:tcPr>
            <w:tcW w:type="dxa" w:w="9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否</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数据管理员</w:t>
            </w:r>
          </w:p>
        </w:tc>
      </w:tr>
      <w:tr>
        <w:trPr>
          <w:cantSplit/>
        </w:trPr>
        <w:tc>
          <w:tcPr>
            <w:tcW w:type="dxa" w:w="234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最近更新时间 / 更新人</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每次状态变更自动或手动记录</w:t>
            </w:r>
          </w:p>
        </w:tc>
        <w:tc>
          <w:tcPr>
            <w:tcW w:type="dxa" w:w="9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是</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全体</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11.2 表二：服务跟进台账</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984"/>
        <w:gridCol w:w="7036"/>
      </w:tblGrid>
      <w:tr>
        <w:trPr>
          <w:tblHeader w:val="true"/>
          <w:cantSplit/>
        </w:trPr>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字段</w:t>
            </w:r>
          </w:p>
        </w:tc>
        <w:tc>
          <w:tcPr>
            <w:tcW w:type="dxa" w:w="703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说明</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任务编号</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格式：月份-通道-三位序号，如 0820-CJ-007（CJ 出海 / ZD 助贷 / KJ 科技）</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关联企业编号</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指向表一</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需求摘要</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一句话说明问题、目标和期望时点，不超过 50 字</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通道 / 分级</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助贷助融 / 出海 / 科技；A/B/C</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主责 / 协同</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一名主责任人，可设置多名协同人</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状态</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已建档 → 已分派 → 已联系 → 待补件 → 办理中 → 转介 → 完成 / 暂缓 / 不适配</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下一动作与日期</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必须可执行、可核验（动词 + 对象 + 日期）</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SLA 计时起点</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默认为活动日 T；补件类任务以企业提交材料日重新计时</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逾期标记</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系统或人工按 T+5 / T+10 / T+30 三个卡点自动打标</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结果与原因</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完成结果或暂不适配原因；不得记录歧视性标签</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授权与公开范围</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仅内部 / 可匿名汇总 / 可对外案例（需书面确认）</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11.3 任务状态流转与 SLA 规则</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2706"/>
        <w:gridCol w:w="2886"/>
        <w:gridCol w:w="1985"/>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状态</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进入条件</w:t>
            </w:r>
          </w:p>
        </w:tc>
        <w:tc>
          <w:tcPr>
            <w:tcW w:type="dxa" w:w="288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允许的下一状态</w:t>
            </w:r>
          </w:p>
        </w:tc>
        <w:tc>
          <w:tcPr>
            <w:tcW w:type="dxa" w:w="198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时限</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已建档</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服务确认卡录入完毕、字段无空缺</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已分派</w:t>
            </w:r>
          </w:p>
        </w:tc>
        <w:tc>
          <w:tcPr>
            <w:tcW w:type="dxa" w:w="198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T+3 前</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已分派</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明确唯一主责任人并已通知</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已联系</w:t>
            </w:r>
          </w:p>
        </w:tc>
        <w:tc>
          <w:tcPr>
            <w:tcW w:type="dxa" w:w="198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T+5 前</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已联系</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主责任人与企业完成首次沟通并留痕</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待补件 / 办理中 / 转介 / 不适配</w:t>
            </w:r>
          </w:p>
        </w:tc>
        <w:tc>
          <w:tcPr>
            <w:tcW w:type="dxa" w:w="198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T+10 前</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待补件</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已向企业发出书面材料清单</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办理中 / 暂缓</w:t>
            </w:r>
          </w:p>
        </w:tc>
        <w:tc>
          <w:tcPr>
            <w:tcW w:type="dxa" w:w="198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计时暂停，企业提交后重新计时</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办理中</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进入银行或伙伴的正式流程</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完成 / 转介 / 暂缓</w:t>
            </w:r>
          </w:p>
        </w:tc>
        <w:tc>
          <w:tcPr>
            <w:tcW w:type="dxa" w:w="198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按实际流程，每 10 个工作日更新一次</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转介</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已交接至第三方并取得接收确认</w:t>
            </w:r>
          </w:p>
        </w:tc>
        <w:tc>
          <w:tcPr>
            <w:tcW w:type="dxa" w:w="288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完成 / 暂缓</w:t>
            </w:r>
          </w:p>
        </w:tc>
        <w:tc>
          <w:tcPr>
            <w:tcW w:type="dxa" w:w="198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交接后 10 个工作日内确认接收</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完成 / 暂缓 / 不适配</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有明确结论与原因说明</w:t>
            </w:r>
          </w:p>
        </w:tc>
        <w:tc>
          <w:tcPr>
            <w:tcW w:type="dxa" w:w="288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（终态）</w:t>
            </w:r>
          </w:p>
        </w:tc>
        <w:tc>
          <w:tcPr>
            <w:tcW w:type="dxa" w:w="198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T+30 前全部任务须落终态</w:t>
            </w:r>
          </w:p>
        </w:tc>
      </w:tr>
    </w:tbl>
    <w:p>
      <w:pPr>
        <w:spacing w:before="0" w:after="120" w:line="300" w:lineRule="auto"/>
        <w:jc w:val="left"/>
      </w:pPr>
    </w:p>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11.4 表三：KPI 看板（月度）</w:t>
      </w:r>
    </w:p>
    <w:p>
      <w:pPr>
        <w:spacing w:before="60" w:after="100" w:line="300" w:lineRule="auto"/>
        <w:jc w:val="left"/>
      </w:pPr>
      <w:r>
        <w:rPr>
          <w:rFonts w:ascii="Arial Unicode MS" w:hAnsi="Arial Unicode MS" w:eastAsia="Arial Unicode MS" w:cs="Arial Unicode MS"/>
          <w:b w:val="0"/>
          <w:i w:val="0"/>
          <w:color w:val="1F2937"/>
          <w:sz w:val="21"/>
        </w:rPr>
        <w:t>看板只看四组数：覆盖（企业家次、新增档案）、识别（有效需求数、A 类占比）、转化（三条通道各自进入正式流程的数量）、时效（分派率、10 日首次反馈率、逾期任务数）。每月 5 日前更新，作为项目周会与月度立项会的固定议题。</w:t>
      </w:r>
    </w:p>
    <w:p>
      <w:pPr>
        <w:spacing w:before="0" w:after="12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11.5 权限与数据安全分级</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082"/>
        <w:gridCol w:w="3247"/>
        <w:gridCol w:w="2526"/>
        <w:gridCol w:w="2165"/>
      </w:tblGrid>
      <w:tr>
        <w:trPr>
          <w:tblHeader w:val="true"/>
          <w:cantSplit/>
        </w:trPr>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等级</w:t>
            </w:r>
          </w:p>
        </w:tc>
        <w:tc>
          <w:tcPr>
            <w:tcW w:type="dxa" w:w="324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内容</w:t>
            </w:r>
          </w:p>
        </w:tc>
        <w:tc>
          <w:tcPr>
            <w:tcW w:type="dxa" w:w="252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可见范围</w:t>
            </w:r>
          </w:p>
        </w:tc>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存放要求</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公开级</w:t>
            </w:r>
          </w:p>
        </w:tc>
        <w:tc>
          <w:tcPr>
            <w:tcW w:type="dxa" w:w="32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活动通知、议程、成果长图、匿名化案例</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不限</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常规渠道</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内部级</w:t>
            </w:r>
          </w:p>
        </w:tc>
        <w:tc>
          <w:tcPr>
            <w:tcW w:type="dxa" w:w="32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企业池基础字段、任务台账、KPI 看板</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四方项目组成员</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共享表格，账号可追溯</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受限级</w:t>
            </w:r>
          </w:p>
        </w:tc>
        <w:tc>
          <w:tcPr>
            <w:tcW w:type="dxa" w:w="324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企业联系人、需求细节、分层结果</w:t>
            </w:r>
          </w:p>
        </w:tc>
        <w:tc>
          <w:tcPr>
            <w:tcW w:type="dxa" w:w="252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主责任人 + 项目办 + 相关条线</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权限分配到人，不外发截图</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敏感级</w:t>
            </w:r>
          </w:p>
        </w:tc>
        <w:tc>
          <w:tcPr>
            <w:tcW w:type="dxa" w:w="324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财务、征信、合同、跨境单证等材料</w:t>
            </w:r>
          </w:p>
        </w:tc>
        <w:tc>
          <w:tcPr>
            <w:tcW w:type="dxa" w:w="252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仅银行相关审批流程内人员</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通过银行认可渠道提交，项目侧不留存</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十二、风险控制与合规要求</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7577"/>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条款</w:t>
            </w:r>
          </w:p>
        </w:tc>
        <w:tc>
          <w:tcPr>
            <w:tcW w:type="dxa" w:w="757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要求</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授信独立</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任何单位、专家或活动人员不得代替银行作授信判断，不得承诺额度、价格、期限或放款</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数据最小化</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只收集完成报名、匹配和服务所必需的信息；融资、账户、征信等敏感材料须通过银行认可的渠道提交</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授权可撤回</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企业应知悉数据用途、接收方和保存期限，可按约定撤回后续非必要使用</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宣传审查</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银行名称、标识、产品和案例对外发布前，应由泰隆银行指定窗口确认；技术案例还应取得企业授权</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利益冲突</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生态伙伴须披露收费与商业关系，不得借活动强制捆绑服务或开展不透明收费</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活动安全</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企业现场参访须遵守安全生产、商业秘密、知识产权、摄影和访客管理要求</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廉洁与公平</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企业入选以主题适配和需求准备度为主，不以赞助、礼品或非公开关系交换服务机会</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12.1 风险登记册</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042"/>
        <w:gridCol w:w="681"/>
        <w:gridCol w:w="681"/>
        <w:gridCol w:w="1702"/>
        <w:gridCol w:w="2723"/>
        <w:gridCol w:w="1191"/>
      </w:tblGrid>
      <w:tr>
        <w:trPr>
          <w:tblHeader w:val="true"/>
          <w:cantSplit/>
        </w:trPr>
        <w:tc>
          <w:tcPr>
            <w:tcW w:type="dxa" w:w="204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风险</w:t>
            </w:r>
          </w:p>
        </w:tc>
        <w:tc>
          <w:tcPr>
            <w:tcW w:type="dxa" w:w="68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可能性</w:t>
            </w:r>
          </w:p>
        </w:tc>
        <w:tc>
          <w:tcPr>
            <w:tcW w:type="dxa" w:w="68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影响</w:t>
            </w:r>
          </w:p>
        </w:tc>
        <w:tc>
          <w:tcPr>
            <w:tcW w:type="dxa" w:w="170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预警信号</w:t>
            </w:r>
          </w:p>
        </w:tc>
        <w:tc>
          <w:tcPr>
            <w:tcW w:type="dxa" w:w="272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应对措施</w:t>
            </w:r>
          </w:p>
        </w:tc>
        <w:tc>
          <w:tcPr>
            <w:tcW w:type="dxa" w:w="119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8"/>
              </w:rPr>
              <w:t>责任岗</w:t>
            </w:r>
          </w:p>
        </w:tc>
      </w:tr>
      <w:tr>
        <w:trPr>
          <w:cantSplit/>
        </w:trPr>
        <w:tc>
          <w:tcPr>
            <w:tcW w:type="dxa" w:w="204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被理解为"包装贷款"或助贷中介</w:t>
            </w:r>
          </w:p>
        </w:tc>
        <w:tc>
          <w:tcPr>
            <w:tcW w:type="dxa" w:w="68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68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高</w:t>
            </w:r>
          </w:p>
        </w:tc>
        <w:tc>
          <w:tcPr>
            <w:tcW w:type="dxa" w:w="17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企业询问"能批多少额度"频次上升</w:t>
            </w:r>
          </w:p>
        </w:tc>
        <w:tc>
          <w:tcPr>
            <w:tcW w:type="dxa" w:w="272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开场逐条宣读边界口径；所有物料加注免责声明；发现中介身份报名即取消资格</w:t>
            </w:r>
          </w:p>
        </w:tc>
        <w:tc>
          <w:tcPr>
            <w:tcW w:type="dxa" w:w="119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合规与数据窗口</w:t>
            </w:r>
          </w:p>
        </w:tc>
      </w:tr>
      <w:tr>
        <w:trPr>
          <w:cantSplit/>
        </w:trPr>
        <w:tc>
          <w:tcPr>
            <w:tcW w:type="dxa" w:w="204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企业报名不足或到场率低</w:t>
            </w:r>
          </w:p>
        </w:tc>
        <w:tc>
          <w:tcPr>
            <w:tcW w:type="dxa" w:w="68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68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17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T-15 报名不足 60%；T-1 确认到场低于 80%</w:t>
            </w:r>
          </w:p>
        </w:tc>
        <w:tc>
          <w:tcPr>
            <w:tcW w:type="dxa" w:w="272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启动定向补邀名单；压缩分组数；提前通知嘉宾调整互动方式</w:t>
            </w:r>
          </w:p>
        </w:tc>
        <w:tc>
          <w:tcPr>
            <w:tcW w:type="dxa" w:w="119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联合会执行组</w:t>
            </w:r>
          </w:p>
        </w:tc>
      </w:tr>
      <w:tr>
        <w:trPr>
          <w:cantSplit/>
        </w:trPr>
        <w:tc>
          <w:tcPr>
            <w:tcW w:type="dxa" w:w="204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首次反馈逾期</w:t>
            </w:r>
          </w:p>
        </w:tc>
        <w:tc>
          <w:tcPr>
            <w:tcW w:type="dxa" w:w="68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高</w:t>
            </w:r>
          </w:p>
        </w:tc>
        <w:tc>
          <w:tcPr>
            <w:tcW w:type="dxa" w:w="68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17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T+5 分派未完成</w:t>
            </w:r>
          </w:p>
        </w:tc>
        <w:tc>
          <w:tcPr>
            <w:tcW w:type="dxa" w:w="272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周会通报 + A 角接管；连续两次逾期调整主责任人</w:t>
            </w:r>
          </w:p>
        </w:tc>
        <w:tc>
          <w:tcPr>
            <w:tcW w:type="dxa" w:w="119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三链负责人</w:t>
            </w:r>
          </w:p>
        </w:tc>
      </w:tr>
      <w:tr>
        <w:trPr>
          <w:cantSplit/>
        </w:trPr>
        <w:tc>
          <w:tcPr>
            <w:tcW w:type="dxa" w:w="204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被访企业技术或商业信息泄露</w:t>
            </w:r>
          </w:p>
        </w:tc>
        <w:tc>
          <w:tcPr>
            <w:tcW w:type="dxa" w:w="68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低</w:t>
            </w:r>
          </w:p>
        </w:tc>
        <w:tc>
          <w:tcPr>
            <w:tcW w:type="dxa" w:w="68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高</w:t>
            </w:r>
          </w:p>
        </w:tc>
        <w:tc>
          <w:tcPr>
            <w:tcW w:type="dxa" w:w="17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现场出现未报备拍摄、材料外带</w:t>
            </w:r>
          </w:p>
        </w:tc>
        <w:tc>
          <w:tcPr>
            <w:tcW w:type="dxa" w:w="272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无拍摄区 + 随行引导 + 材料统一回收；违规者当场劝离并记录</w:t>
            </w:r>
          </w:p>
        </w:tc>
        <w:tc>
          <w:tcPr>
            <w:tcW w:type="dxa" w:w="119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会务负责人</w:t>
            </w:r>
          </w:p>
        </w:tc>
      </w:tr>
      <w:tr>
        <w:trPr>
          <w:cantSplit/>
        </w:trPr>
        <w:tc>
          <w:tcPr>
            <w:tcW w:type="dxa" w:w="204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企业信息使用超出授权</w:t>
            </w:r>
          </w:p>
        </w:tc>
        <w:tc>
          <w:tcPr>
            <w:tcW w:type="dxa" w:w="68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低</w:t>
            </w:r>
          </w:p>
        </w:tc>
        <w:tc>
          <w:tcPr>
            <w:tcW w:type="dxa" w:w="68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高</w:t>
            </w:r>
          </w:p>
        </w:tc>
        <w:tc>
          <w:tcPr>
            <w:tcW w:type="dxa" w:w="17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出现未经确认的企业名称对外露出</w:t>
            </w:r>
          </w:p>
        </w:tc>
        <w:tc>
          <w:tcPr>
            <w:tcW w:type="dxa" w:w="272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发布前双人复核；建立"可公开清单"；发现即撤回并书面说明</w:t>
            </w:r>
          </w:p>
        </w:tc>
        <w:tc>
          <w:tcPr>
            <w:tcW w:type="dxa" w:w="119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合规与数据窗口</w:t>
            </w:r>
          </w:p>
        </w:tc>
      </w:tr>
      <w:tr>
        <w:trPr>
          <w:cantSplit/>
        </w:trPr>
        <w:tc>
          <w:tcPr>
            <w:tcW w:type="dxa" w:w="204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专题内容被误读为产品预告</w:t>
            </w:r>
          </w:p>
        </w:tc>
        <w:tc>
          <w:tcPr>
            <w:tcW w:type="dxa" w:w="68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68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17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外部转述中出现"专项贷款""联名卡"等表述</w:t>
            </w:r>
          </w:p>
        </w:tc>
        <w:tc>
          <w:tcPr>
            <w:tcW w:type="dxa" w:w="272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所有专题材料加注"研究性调研"；统一由项目办对外回应</w:t>
            </w:r>
          </w:p>
        </w:tc>
        <w:tc>
          <w:tcPr>
            <w:tcW w:type="dxa" w:w="119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项目办公室</w:t>
            </w:r>
          </w:p>
        </w:tc>
      </w:tr>
      <w:tr>
        <w:trPr>
          <w:cantSplit/>
        </w:trPr>
        <w:tc>
          <w:tcPr>
            <w:tcW w:type="dxa" w:w="204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预算未获批或延迟</w:t>
            </w:r>
          </w:p>
        </w:tc>
        <w:tc>
          <w:tcPr>
            <w:tcW w:type="dxa" w:w="68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68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170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T-25 前预算未签批</w:t>
            </w:r>
          </w:p>
        </w:tc>
        <w:tc>
          <w:tcPr>
            <w:tcW w:type="dxa" w:w="272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按 8.4 降本方案降档执行；用首场成果补充申请</w:t>
            </w:r>
          </w:p>
        </w:tc>
        <w:tc>
          <w:tcPr>
            <w:tcW w:type="dxa" w:w="119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8"/>
              </w:rPr>
              <w:t>项目经理</w:t>
            </w:r>
          </w:p>
        </w:tc>
      </w:tr>
      <w:tr>
        <w:trPr>
          <w:cantSplit/>
        </w:trPr>
        <w:tc>
          <w:tcPr>
            <w:tcW w:type="dxa" w:w="204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关键人员变动</w:t>
            </w:r>
          </w:p>
        </w:tc>
        <w:tc>
          <w:tcPr>
            <w:tcW w:type="dxa" w:w="68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68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中</w:t>
            </w:r>
          </w:p>
        </w:tc>
        <w:tc>
          <w:tcPr>
            <w:tcW w:type="dxa" w:w="170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任一方项目联系人更换</w:t>
            </w:r>
          </w:p>
        </w:tc>
        <w:tc>
          <w:tcPr>
            <w:tcW w:type="dxa" w:w="272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四方各设 1 名备份联系人；台账与文档统一存放不随个人转移</w:t>
            </w:r>
          </w:p>
        </w:tc>
        <w:tc>
          <w:tcPr>
            <w:tcW w:type="dxa" w:w="119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8"/>
              </w:rPr>
              <w:t>项目办公室</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十三、配套执行材料（附件）</w:t>
      </w:r>
    </w:p>
    <w:p>
      <w:pPr>
        <w:spacing w:before="60" w:after="100" w:line="300" w:lineRule="auto"/>
        <w:jc w:val="left"/>
      </w:pPr>
      <w:r>
        <w:rPr>
          <w:rFonts w:ascii="Arial Unicode MS" w:hAnsi="Arial Unicode MS" w:eastAsia="Arial Unicode MS" w:cs="Arial Unicode MS"/>
          <w:b w:val="0"/>
          <w:i w:val="0"/>
          <w:color w:val="1F2937"/>
          <w:sz w:val="21"/>
        </w:rPr>
        <w:t>附件 1—6 为 V1.0 已有并经细化的模板，附件 7—12 为 V2.0 新增的执行脚本与工具。所有模板可直接复制使用，方括号内容为填写位。</w:t>
      </w:r>
    </w:p>
    <w:p>
      <w:pPr>
        <w:pStyle w:val="Heading2"/>
        <w:keepNext/>
        <w:spacing w:before="240" w:after="100" w:line="300" w:lineRule="auto"/>
        <w:jc w:val="left"/>
      </w:pPr>
      <w:r>
        <w:rPr>
          <w:rFonts w:ascii="Arial Unicode MS" w:hAnsi="Arial Unicode MS" w:eastAsia="Arial Unicode MS" w:cs="Arial Unicode MS"/>
          <w:b/>
          <w:i w:val="0"/>
          <w:color w:val="2E74B5"/>
          <w:sz w:val="24"/>
        </w:rPr>
        <w:t>附件 1｜企业报名与需求表（模板）</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984"/>
        <w:gridCol w:w="7036"/>
      </w:tblGrid>
      <w:tr>
        <w:trPr>
          <w:tblHeader w:val="true"/>
          <w:cantSplit/>
        </w:trPr>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字段</w:t>
            </w:r>
          </w:p>
        </w:tc>
        <w:tc>
          <w:tcPr>
            <w:tcW w:type="dxa" w:w="703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填写内容</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企业基本信息</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企业名称、统一社会信用代码、成立时间、注册地址、主要经营地、所属行业</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联系人</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姓名、职务、手机、邮箱；是否为本项目内部负责人</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经营概况</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核心产品 / 服务、主要客户类型、员工规模区间、当前发展阶段</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助贷助融需求</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资金用途、金额区间、使用期限、期望时点、已有沟通情况；可不在报名阶段提交敏感材料</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出海需求</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目标国家 / 地区、业务模式、交易币种、当前阶段、主要难点</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科技链接需求</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技术难题、成果转化、场景、采购、供应链或数字化改造需求</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希望参访主题</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8—12 月主题选择；可多选并说明优先级</w:t>
            </w:r>
          </w:p>
        </w:tc>
      </w:tr>
      <w:tr>
        <w:trPr>
          <w:cantSplit/>
        </w:trPr>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内部决策人确认</w:t>
            </w:r>
          </w:p>
        </w:tc>
        <w:tc>
          <w:tcPr>
            <w:tcW w:type="dxa" w:w="703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本次对接是否已获企业内部决策人知晓（是 / 否）</w:t>
            </w:r>
          </w:p>
        </w:tc>
      </w:tr>
      <w:tr>
        <w:trPr>
          <w:cantSplit/>
        </w:trPr>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授权确认</w:t>
            </w:r>
          </w:p>
        </w:tc>
        <w:tc>
          <w:tcPr>
            <w:tcW w:type="dxa" w:w="703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同意主办与合作方在本项目范围内使用必要信息进行筛选、匹配和跟进；宣传另行授权</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附件 2｜企业服务确认卡（现场使用）</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165"/>
        <w:gridCol w:w="6855"/>
      </w:tblGrid>
      <w:tr>
        <w:trPr>
          <w:tblHeader w:val="true"/>
          <w:cantSplit/>
        </w:trPr>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项目</w:t>
            </w:r>
          </w:p>
        </w:tc>
        <w:tc>
          <w:tcPr>
            <w:tcW w:type="dxa" w:w="685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记录内容</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企业 / 对接人</w:t>
            </w:r>
          </w:p>
        </w:tc>
        <w:tc>
          <w:tcPr>
            <w:tcW w:type="dxa" w:w="68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____________________________________________</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企业编号 / 任务编号</w:t>
            </w:r>
          </w:p>
        </w:tc>
        <w:tc>
          <w:tcPr>
            <w:tcW w:type="dxa" w:w="68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____________________________________________</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主通道</w:t>
            </w:r>
          </w:p>
        </w:tc>
        <w:tc>
          <w:tcPr>
            <w:tcW w:type="dxa" w:w="68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助贷助融　□ 出海支持　□ 科技链接　□ 综合</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核心需求（一句话）</w:t>
            </w:r>
          </w:p>
        </w:tc>
        <w:tc>
          <w:tcPr>
            <w:tcW w:type="dxa" w:w="68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____________________________________________</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本次确认事项</w:t>
            </w:r>
          </w:p>
        </w:tc>
        <w:tc>
          <w:tcPr>
            <w:tcW w:type="dxa" w:w="68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____________________________________________</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需补充材料</w:t>
            </w:r>
          </w:p>
        </w:tc>
        <w:tc>
          <w:tcPr>
            <w:tcW w:type="dxa" w:w="68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____________________________________________</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主责任人 / 协同人</w:t>
            </w:r>
          </w:p>
        </w:tc>
        <w:tc>
          <w:tcPr>
            <w:tcW w:type="dxa" w:w="68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____________________________________________</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首次反馈日期</w:t>
            </w:r>
          </w:p>
        </w:tc>
        <w:tc>
          <w:tcPr>
            <w:tcW w:type="dxa" w:w="68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______年____月____日（不晚于 T+10）</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企业方确认签字</w:t>
            </w:r>
          </w:p>
        </w:tc>
        <w:tc>
          <w:tcPr>
            <w:tcW w:type="dxa" w:w="685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____________________________________________</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信息与宣传授权</w:t>
            </w:r>
          </w:p>
        </w:tc>
        <w:tc>
          <w:tcPr>
            <w:tcW w:type="dxa" w:w="685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仅内部服务使用　□ 可匿名汇总　□ 另行确认对外案例</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附件 3｜活动执行检查表</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263"/>
        <w:gridCol w:w="5773"/>
        <w:gridCol w:w="1984"/>
      </w:tblGrid>
      <w:tr>
        <w:trPr>
          <w:tblHeader w:val="true"/>
          <w:cantSplit/>
        </w:trPr>
        <w:tc>
          <w:tcPr>
            <w:tcW w:type="dxa" w:w="126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节点</w:t>
            </w:r>
          </w:p>
        </w:tc>
        <w:tc>
          <w:tcPr>
            <w:tcW w:type="dxa" w:w="577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检查事项</w:t>
            </w:r>
          </w:p>
        </w:tc>
        <w:tc>
          <w:tcPr>
            <w:tcW w:type="dxa" w:w="198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完成 / 责任人</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T-30</w:t>
            </w:r>
          </w:p>
        </w:tc>
        <w:tc>
          <w:tcPr>
            <w:tcW w:type="dxa" w:w="57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主题、目标、预算、场地、四方项目联系人确认</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T-25</w:t>
            </w:r>
          </w:p>
        </w:tc>
        <w:tc>
          <w:tcPr>
            <w:tcW w:type="dxa" w:w="57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银行可对外口径清单确认；场地确认函回收</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T-20</w:t>
            </w:r>
          </w:p>
        </w:tc>
        <w:tc>
          <w:tcPr>
            <w:tcW w:type="dxa" w:w="57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邀请函、报名表、数据用途说明发布</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T-15</w:t>
            </w:r>
          </w:p>
        </w:tc>
        <w:tc>
          <w:tcPr>
            <w:tcW w:type="dxa" w:w="57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报名进度过半预警；定向补邀名单启用</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T-10</w:t>
            </w:r>
          </w:p>
        </w:tc>
        <w:tc>
          <w:tcPr>
            <w:tcW w:type="dxa" w:w="57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企业分层、席位确认、主讲人与服务席匹配</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T-7</w:t>
            </w:r>
          </w:p>
        </w:tc>
        <w:tc>
          <w:tcPr>
            <w:tcW w:type="dxa" w:w="57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讲稿初稿；路演企业辅导完成</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T-5</w:t>
            </w:r>
          </w:p>
        </w:tc>
        <w:tc>
          <w:tcPr>
            <w:tcW w:type="dxa" w:w="57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物料下单：手册 __ 份、席卡 __ 张、服务卡 __ 张、胸卡 __ 个、易拉宝 __ 个</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T-5</w:t>
            </w:r>
          </w:p>
        </w:tc>
        <w:tc>
          <w:tcPr>
            <w:tcW w:type="dxa" w:w="57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设备：投影 / 音响 / 话筒 __ 支 / 翻页笔 / 网络 / 插排；备用方案已确认</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T-3</w:t>
            </w:r>
          </w:p>
        </w:tc>
        <w:tc>
          <w:tcPr>
            <w:tcW w:type="dxa" w:w="57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议程、主持稿、讲稿、席卡、服务卡、应急方案彩排</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w:t>
            </w:r>
          </w:p>
        </w:tc>
        <w:tc>
          <w:tcPr>
            <w:tcW w:type="dxa" w:w="57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到场确认（电话 + 微信双通道）；设备、网络、摄影与保密边界复核</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 日 会前 60 分钟</w:t>
            </w:r>
          </w:p>
        </w:tc>
        <w:tc>
          <w:tcPr>
            <w:tcW w:type="dxa" w:w="57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签到台、指引牌、分组桌牌、材料分装、摄影点位就位</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 日</w:t>
            </w:r>
          </w:p>
        </w:tc>
        <w:tc>
          <w:tcPr>
            <w:tcW w:type="dxa" w:w="57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签到、机制说明、分组记录、任务核对、问卷回收</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 日 散场前</w:t>
            </w:r>
          </w:p>
        </w:tc>
        <w:tc>
          <w:tcPr>
            <w:tcW w:type="dxa" w:w="57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服务卡清点（应收 __ 张 / 实收 __ 张）、材料回收、资料归档</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w:t>
            </w:r>
          </w:p>
        </w:tc>
        <w:tc>
          <w:tcPr>
            <w:tcW w:type="dxa" w:w="57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档案、感谢信、任务台账与授权记录归档</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T+10</w:t>
            </w:r>
          </w:p>
        </w:tc>
        <w:tc>
          <w:tcPr>
            <w:tcW w:type="dxa" w:w="577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首次反馈完成；逾期事项升级</w:t>
            </w:r>
          </w:p>
        </w:tc>
        <w:tc>
          <w:tcPr>
            <w:tcW w:type="dxa" w:w="198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 __________</w:t>
            </w:r>
          </w:p>
        </w:tc>
      </w:tr>
      <w:tr>
        <w:trPr>
          <w:cantSplit/>
        </w:trPr>
        <w:tc>
          <w:tcPr>
            <w:tcW w:type="dxa" w:w="12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T+30</w:t>
            </w:r>
          </w:p>
        </w:tc>
        <w:tc>
          <w:tcPr>
            <w:tcW w:type="dxa" w:w="577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闭环复盘、案例授权、下一场改进事项</w:t>
            </w:r>
          </w:p>
        </w:tc>
        <w:tc>
          <w:tcPr>
            <w:tcW w:type="dxa" w:w="198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 __________</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附件 4｜服务跟进台账（字段与状态规则）</w:t>
      </w:r>
    </w:p>
    <w:p>
      <w:pPr>
        <w:spacing w:before="60" w:after="100" w:line="300" w:lineRule="auto"/>
        <w:jc w:val="left"/>
      </w:pPr>
      <w:r>
        <w:rPr>
          <w:rFonts w:ascii="Arial Unicode MS" w:hAnsi="Arial Unicode MS" w:eastAsia="Arial Unicode MS" w:cs="Arial Unicode MS"/>
          <w:b w:val="0"/>
          <w:i w:val="0"/>
          <w:color w:val="667085"/>
          <w:sz w:val="19"/>
        </w:rPr>
        <w:t>字段规范见 11.2，状态流转与 SLA 规则见 11.3。建议直接按该两表建立共享表格，列顺序保持一致以便跨场合并。</w:t>
      </w:r>
    </w:p>
    <w:p>
      <w:pPr>
        <w:pStyle w:val="Heading2"/>
        <w:keepNext/>
        <w:pageBreakBefore/>
        <w:spacing w:before="240" w:after="100" w:line="300" w:lineRule="auto"/>
        <w:jc w:val="left"/>
      </w:pPr>
      <w:r>
        <w:rPr>
          <w:rFonts w:ascii="Arial Unicode MS" w:hAnsi="Arial Unicode MS" w:eastAsia="Arial Unicode MS" w:cs="Arial Unicode MS"/>
          <w:b/>
          <w:i w:val="0"/>
          <w:color w:val="2E74B5"/>
          <w:sz w:val="24"/>
        </w:rPr>
        <w:t>附件 5｜企业邀请函（参考文本）</w:t>
      </w:r>
    </w:p>
    <w:p>
      <w:pPr>
        <w:spacing w:before="60" w:after="100" w:line="300" w:lineRule="auto"/>
        <w:jc w:val="left"/>
      </w:pPr>
      <w:r>
        <w:rPr>
          <w:rFonts w:ascii="Arial Unicode MS" w:hAnsi="Arial Unicode MS" w:eastAsia="Arial Unicode MS" w:cs="Arial Unicode MS"/>
          <w:b w:val="0"/>
          <w:i w:val="0"/>
          <w:color w:val="1F2937"/>
          <w:sz w:val="21"/>
        </w:rPr>
        <w:t>尊敬的企业负责人：</w:t>
      </w:r>
    </w:p>
    <w:p>
      <w:pPr>
        <w:spacing w:before="60" w:after="100" w:line="300" w:lineRule="auto"/>
        <w:jc w:val="left"/>
      </w:pPr>
      <w:r>
        <w:rPr>
          <w:rFonts w:ascii="Arial Unicode MS" w:hAnsi="Arial Unicode MS" w:eastAsia="Arial Unicode MS" w:cs="Arial Unicode MS"/>
          <w:b w:val="0"/>
          <w:i w:val="0"/>
          <w:color w:val="1F2937"/>
          <w:sz w:val="21"/>
        </w:rPr>
        <w:t>为进一步服务上海小微企业和中小型科技企业发展，复旦大学住房政策研究中心、上海市杨浦区科技企业联合会、上海市科技企业联合会拟与泰隆银行共同开展 2026 年 8—12 月企业参访系列活动。活动将围绕助贷与助融、出海支持、科技链接三个方向，通过主题分享、案例交流、分组问诊和资源匹配，为企业提供可持续的后续服务。</w:t>
      </w:r>
    </w:p>
    <w:p>
      <w:pPr>
        <w:spacing w:before="60" w:after="100" w:line="300" w:lineRule="auto"/>
        <w:jc w:val="left"/>
      </w:pPr>
      <w:r>
        <w:rPr>
          <w:rFonts w:ascii="Arial Unicode MS" w:hAnsi="Arial Unicode MS" w:eastAsia="Arial Unicode MS" w:cs="Arial Unicode MS"/>
          <w:b w:val="0"/>
          <w:i w:val="0"/>
          <w:color w:val="1F2937"/>
          <w:sz w:val="21"/>
        </w:rPr>
        <w:t>本期主题为"【填写主题】"，拟于【日期】【时间】在【地点】举行，诚邀贵企业报名参加。为提高对接效率，请于【截止日期】前填写报名与需求表（附二维码 / 链接）。活动名额将依据主题适配度与需求准备度综合确认，入选与候补结果将于【日期】前通知。</w:t>
      </w:r>
    </w:p>
    <w:p>
      <w:pPr>
        <w:spacing w:before="60" w:after="100" w:line="300" w:lineRule="auto"/>
        <w:jc w:val="left"/>
      </w:pPr>
      <w:r>
        <w:rPr>
          <w:rFonts w:ascii="Arial Unicode MS" w:hAnsi="Arial Unicode MS" w:eastAsia="Arial Unicode MS" w:cs="Arial Unicode MS"/>
          <w:b w:val="0"/>
          <w:i w:val="0"/>
          <w:color w:val="1F2937"/>
          <w:sz w:val="21"/>
        </w:rPr>
        <w:t>参加本次活动，您将获得：① 与银行相关条线负责人当面沟通经营与融资问题的机会；② 一份针对贵司需求的材料准备清单或服务清单；③ 一位明确的对接责任人和不晚于活动后 10 个工作日的首次反馈。</w:t>
      </w:r>
    </w:p>
    <w:p>
      <w:pPr>
        <w:spacing w:before="60" w:after="100" w:line="300" w:lineRule="auto"/>
        <w:jc w:val="left"/>
      </w:pPr>
      <w:r>
        <w:rPr>
          <w:rFonts w:ascii="Arial Unicode MS" w:hAnsi="Arial Unicode MS" w:eastAsia="Arial Unicode MS" w:cs="Arial Unicode MS"/>
          <w:b w:val="0"/>
          <w:i w:val="0"/>
          <w:color w:val="1F2937"/>
          <w:sz w:val="21"/>
        </w:rPr>
        <w:t>特别说明：本活动不收取任何费用；不构成任何授信、投资或业务办理承诺；金融业务由银行独立尽调审批。企业信息仅在授权范围内用于本项目筛选、匹配和跟进。</w:t>
      </w:r>
    </w:p>
    <w:p>
      <w:pPr>
        <w:spacing w:before="60" w:after="100" w:line="300" w:lineRule="auto"/>
        <w:jc w:val="left"/>
      </w:pPr>
      <w:r>
        <w:rPr>
          <w:rFonts w:ascii="Arial Unicode MS" w:hAnsi="Arial Unicode MS" w:eastAsia="Arial Unicode MS" w:cs="Arial Unicode MS"/>
          <w:b w:val="0"/>
          <w:i w:val="0"/>
          <w:color w:val="1F2937"/>
          <w:sz w:val="21"/>
        </w:rPr>
        <w:t>联系人：【姓名 / 电话 / 邮箱】</w:t>
      </w:r>
    </w:p>
    <w:p>
      <w:pPr>
        <w:spacing w:before="60" w:after="100" w:line="300" w:lineRule="auto"/>
        <w:jc w:val="left"/>
      </w:pPr>
      <w:r>
        <w:rPr>
          <w:rFonts w:ascii="Arial Unicode MS" w:hAnsi="Arial Unicode MS" w:eastAsia="Arial Unicode MS" w:cs="Arial Unicode MS"/>
          <w:b w:val="0"/>
          <w:i w:val="0"/>
          <w:color w:val="1F2937"/>
          <w:sz w:val="21"/>
        </w:rPr>
        <w:t>复旦大学住房政策研究中心</w:t>
      </w:r>
    </w:p>
    <w:p>
      <w:pPr>
        <w:spacing w:before="60" w:after="100" w:line="300" w:lineRule="auto"/>
        <w:jc w:val="left"/>
      </w:pPr>
      <w:r>
        <w:rPr>
          <w:rFonts w:ascii="Arial Unicode MS" w:hAnsi="Arial Unicode MS" w:eastAsia="Arial Unicode MS" w:cs="Arial Unicode MS"/>
          <w:b w:val="0"/>
          <w:i w:val="0"/>
          <w:color w:val="1F2937"/>
          <w:sz w:val="21"/>
        </w:rPr>
        <w:t>上海市杨浦区科技企业联合会</w:t>
      </w:r>
    </w:p>
    <w:p>
      <w:pPr>
        <w:spacing w:before="60" w:after="100" w:line="300" w:lineRule="auto"/>
        <w:jc w:val="left"/>
      </w:pPr>
      <w:r>
        <w:rPr>
          <w:rFonts w:ascii="Arial Unicode MS" w:hAnsi="Arial Unicode MS" w:eastAsia="Arial Unicode MS" w:cs="Arial Unicode MS"/>
          <w:b w:val="0"/>
          <w:i w:val="0"/>
          <w:color w:val="1F2937"/>
          <w:sz w:val="21"/>
        </w:rPr>
        <w:t>上海市科技企业联合会</w:t>
      </w:r>
    </w:p>
    <w:p>
      <w:pPr>
        <w:spacing w:before="60" w:after="100" w:line="300" w:lineRule="auto"/>
        <w:jc w:val="left"/>
      </w:pPr>
      <w:r>
        <w:rPr>
          <w:rFonts w:ascii="Arial Unicode MS" w:hAnsi="Arial Unicode MS" w:eastAsia="Arial Unicode MS" w:cs="Arial Unicode MS"/>
          <w:b w:val="0"/>
          <w:i w:val="0"/>
          <w:color w:val="1F2937"/>
          <w:sz w:val="21"/>
        </w:rPr>
        <w:t>泰隆银行相关承办机构（以最终确认及盖章版本为准）</w:t>
      </w:r>
    </w:p>
    <w:p>
      <w:pPr>
        <w:spacing w:before="60" w:after="100" w:line="300" w:lineRule="auto"/>
        <w:jc w:val="left"/>
      </w:pPr>
      <w:r>
        <w:rPr>
          <w:rFonts w:ascii="Arial Unicode MS" w:hAnsi="Arial Unicode MS" w:eastAsia="Arial Unicode MS" w:cs="Arial Unicode MS"/>
          <w:b w:val="0"/>
          <w:i w:val="0"/>
          <w:color w:val="1F2937"/>
          <w:sz w:val="21"/>
        </w:rPr>
        <w:t>2026 年 __ 月 __ 日</w:t>
      </w:r>
    </w:p>
    <w:p>
      <w:pPr>
        <w:spacing w:before="0" w:after="16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附件 6｜主持开场关键口径</w:t>
      </w:r>
    </w:p>
    <w:p>
      <w:pPr>
        <w:pStyle w:val="ListBullet"/>
        <w:spacing w:before="30" w:after="60" w:line="300" w:lineRule="auto"/>
        <w:ind w:left="420" w:hanging="240"/>
        <w:jc w:val="left"/>
      </w:pPr>
      <w:r>
        <w:rPr>
          <w:rFonts w:ascii="Arial Unicode MS" w:hAnsi="Arial Unicode MS" w:eastAsia="Arial Unicode MS" w:cs="Arial Unicode MS"/>
          <w:b w:val="0"/>
          <w:i w:val="0"/>
          <w:color w:val="1F2937"/>
          <w:sz w:val="21"/>
        </w:rPr>
        <w:t>今天的参访目标，是把企业的真实问题转化为可跟进的服务任务，而不是完成一次泛泛交流。</w:t>
      </w:r>
    </w:p>
    <w:p>
      <w:pPr>
        <w:pStyle w:val="ListBullet"/>
        <w:spacing w:before="30" w:after="60" w:line="300" w:lineRule="auto"/>
        <w:ind w:left="420" w:hanging="240"/>
        <w:jc w:val="left"/>
      </w:pPr>
      <w:r>
        <w:rPr>
          <w:rFonts w:ascii="Arial Unicode MS" w:hAnsi="Arial Unicode MS" w:eastAsia="Arial Unicode MS" w:cs="Arial Unicode MS"/>
          <w:b w:val="0"/>
          <w:i w:val="0"/>
          <w:color w:val="1F2937"/>
          <w:sz w:val="21"/>
        </w:rPr>
        <w:t>现场设置助贷助融、出海支持、科技链接三个服务方向；每项需求都会明确责任人与首次反馈时间。</w:t>
      </w:r>
    </w:p>
    <w:p>
      <w:pPr>
        <w:pStyle w:val="ListBullet"/>
        <w:spacing w:before="30" w:after="60" w:line="300" w:lineRule="auto"/>
        <w:ind w:left="420" w:hanging="240"/>
        <w:jc w:val="left"/>
      </w:pPr>
      <w:r>
        <w:rPr>
          <w:rFonts w:ascii="Arial Unicode MS" w:hAnsi="Arial Unicode MS" w:eastAsia="Arial Unicode MS" w:cs="Arial Unicode MS"/>
          <w:b w:val="0"/>
          <w:i w:val="0"/>
          <w:color w:val="1F2937"/>
          <w:sz w:val="21"/>
        </w:rPr>
        <w:t>涉及金融业务的，泰隆银行将依据独立尽调和审批流程办理，现场交流不代表授信承诺。</w:t>
      </w:r>
    </w:p>
    <w:p>
      <w:pPr>
        <w:pStyle w:val="ListBullet"/>
        <w:spacing w:before="30" w:after="60" w:line="300" w:lineRule="auto"/>
        <w:ind w:left="420" w:hanging="240"/>
        <w:jc w:val="left"/>
      </w:pPr>
      <w:r>
        <w:rPr>
          <w:rFonts w:ascii="Arial Unicode MS" w:hAnsi="Arial Unicode MS" w:eastAsia="Arial Unicode MS" w:cs="Arial Unicode MS"/>
          <w:b w:val="0"/>
          <w:i w:val="0"/>
          <w:color w:val="1F2937"/>
          <w:sz w:val="21"/>
        </w:rPr>
        <w:t>本次活动不向企业收取任何费用，也不存在任何形式的助贷撮合收费。</w:t>
      </w:r>
    </w:p>
    <w:p>
      <w:pPr>
        <w:pStyle w:val="ListBullet"/>
        <w:spacing w:before="30" w:after="60" w:line="300" w:lineRule="auto"/>
        <w:ind w:left="420" w:hanging="240"/>
        <w:jc w:val="left"/>
      </w:pPr>
      <w:r>
        <w:rPr>
          <w:rFonts w:ascii="Arial Unicode MS" w:hAnsi="Arial Unicode MS" w:eastAsia="Arial Unicode MS" w:cs="Arial Unicode MS"/>
          <w:b w:val="0"/>
          <w:i w:val="0"/>
          <w:color w:val="1F2937"/>
          <w:sz w:val="21"/>
        </w:rPr>
        <w:t>涉及企业敏感经营、技术或跨境信息的，请在授权范围内交流；摄影和案例发布将另行确认。</w:t>
      </w:r>
    </w:p>
    <w:p>
      <w:pPr>
        <w:pStyle w:val="Heading2"/>
        <w:keepNext/>
        <w:pageBreakBefore/>
        <w:spacing w:before="240" w:after="100" w:line="300" w:lineRule="auto"/>
        <w:jc w:val="left"/>
      </w:pPr>
      <w:r>
        <w:rPr>
          <w:rFonts w:ascii="Arial Unicode MS" w:hAnsi="Arial Unicode MS" w:eastAsia="Arial Unicode MS" w:cs="Arial Unicode MS"/>
          <w:b/>
          <w:i w:val="0"/>
          <w:color w:val="2E74B5"/>
          <w:sz w:val="24"/>
        </w:rPr>
        <w:t>附件 7｜话术包（一）：企业邀约</w:t>
      </w:r>
    </w:p>
    <w:p>
      <w:pPr>
        <w:pStyle w:val="Heading3"/>
        <w:keepNext/>
        <w:spacing w:before="180" w:after="80" w:line="300" w:lineRule="auto"/>
        <w:jc w:val="left"/>
      </w:pPr>
      <w:r>
        <w:rPr>
          <w:rFonts w:ascii="Arial Unicode MS" w:hAnsi="Arial Unicode MS" w:eastAsia="Arial Unicode MS" w:cs="Arial Unicode MS"/>
          <w:b/>
          <w:i w:val="0"/>
          <w:color w:val="0B2545"/>
          <w:sz w:val="22"/>
        </w:rPr>
        <w:t>7.1 电话邀约（约 90 秒）</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开场（15 秒）</w:t>
            </w:r>
          </w:p>
          <w:p>
            <w:pPr>
              <w:spacing w:before="10" w:after="20" w:line="270" w:lineRule="auto"/>
              <w:jc w:val="left"/>
            </w:pPr>
            <w:r>
              <w:rPr>
                <w:rFonts w:ascii="Arial Unicode MS" w:hAnsi="Arial Unicode MS" w:eastAsia="Arial Unicode MS" w:cs="Arial Unicode MS"/>
                <w:b w:val="0"/>
                <w:i w:val="0"/>
                <w:color w:val="1F2937"/>
                <w:sz w:val="20"/>
              </w:rPr>
              <w:t>"【企业负责人】您好，我是上海市（杨浦区）科技企业联合会的【姓名】。占用您一分半钟：我们和复旦住房政策研究中心、泰隆银行做了一个面向科技型中小企业的系列参访，【日期】这一场的主题是【主题】，我想问问贵司是否合适。"</w:t>
            </w:r>
          </w:p>
        </w:tc>
      </w:tr>
    </w:tbl>
    <w:p>
      <w:pPr>
        <w:spacing w:before="0" w:after="10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价值点（30 秒）</w:t>
            </w:r>
          </w:p>
          <w:p>
            <w:pPr>
              <w:spacing w:before="10" w:after="20" w:line="270" w:lineRule="auto"/>
              <w:jc w:val="left"/>
            </w:pPr>
            <w:r>
              <w:rPr>
                <w:rFonts w:ascii="Arial Unicode MS" w:hAnsi="Arial Unicode MS" w:eastAsia="Arial Unicode MS" w:cs="Arial Unicode MS"/>
                <w:b w:val="0"/>
                <w:i w:val="0"/>
                <w:color w:val="1F2937"/>
                <w:sz w:val="20"/>
              </w:rPr>
              <w:t>"和一般的活动不太一样的地方有三点：第一，现场是分组问诊，不是听讲座，银行的客户经理和条线负责人会直接坐下来聊您的具体问题；第二，每家企业会形成一张服务确认卡，明确对接人和反馈时间，10 个工作日内一定给回音；第三，全程不收费，也不是中介。"</w:t>
            </w:r>
          </w:p>
        </w:tc>
      </w:tr>
    </w:tbl>
    <w:p>
      <w:pPr>
        <w:spacing w:before="0" w:after="10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需求确认（30 秒）</w:t>
            </w:r>
          </w:p>
          <w:p>
            <w:pPr>
              <w:spacing w:before="10" w:after="20" w:line="270" w:lineRule="auto"/>
              <w:jc w:val="left"/>
            </w:pPr>
            <w:r>
              <w:rPr>
                <w:rFonts w:ascii="Arial Unicode MS" w:hAnsi="Arial Unicode MS" w:eastAsia="Arial Unicode MS" w:cs="Arial Unicode MS"/>
                <w:b w:val="0"/>
                <w:i w:val="0"/>
                <w:color w:val="1F2937"/>
                <w:sz w:val="20"/>
              </w:rPr>
              <w:t>"想先了解一下，贵司目前更关心的是资金周转和融资、出海和跨境收付，还是技术与场景对接这块？"</w:t>
            </w:r>
          </w:p>
          <w:p>
            <w:pPr>
              <w:spacing w:before="10" w:after="20" w:line="270" w:lineRule="auto"/>
              <w:jc w:val="left"/>
            </w:pPr>
            <w:r>
              <w:rPr>
                <w:rFonts w:ascii="Arial Unicode MS" w:hAnsi="Arial Unicode MS" w:eastAsia="Arial Unicode MS" w:cs="Arial Unicode MS"/>
                <w:b w:val="0"/>
                <w:i w:val="0"/>
                <w:color w:val="1F2937"/>
                <w:sz w:val="20"/>
              </w:rPr>
              <w:t>（根据回答记录三链标记，并追问一个具体问题：金额区间 / 目标市场 / 技术难点）</w:t>
            </w:r>
          </w:p>
        </w:tc>
      </w:tr>
    </w:tbl>
    <w:p>
      <w:pPr>
        <w:spacing w:before="0" w:after="10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收口（15 秒）</w:t>
            </w:r>
          </w:p>
          <w:p>
            <w:pPr>
              <w:spacing w:before="10" w:after="20" w:line="270" w:lineRule="auto"/>
              <w:jc w:val="left"/>
            </w:pPr>
            <w:r>
              <w:rPr>
                <w:rFonts w:ascii="Arial Unicode MS" w:hAnsi="Arial Unicode MS" w:eastAsia="Arial Unicode MS" w:cs="Arial Unicode MS"/>
                <w:b w:val="0"/>
                <w:i w:val="0"/>
                <w:color w:val="1F2937"/>
                <w:sz w:val="20"/>
              </w:rPr>
              <w:t>"好的，那我把报名表和活动说明发您微信，麻烦【日期】前填一下。名额是按主题匹配度来定的，填得越具体，我们越好安排对接的人。"</w:t>
            </w:r>
          </w:p>
        </w:tc>
      </w:tr>
    </w:tbl>
    <w:p>
      <w:pPr>
        <w:spacing w:before="0" w:after="100" w:line="300" w:lineRule="auto"/>
        <w:jc w:val="left"/>
      </w:pPr>
    </w:p>
    <w:p>
      <w:pPr>
        <w:spacing w:before="0" w:after="12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7.2 微信文字邀约（可直接复制）</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val="0"/>
                <w:i w:val="0"/>
                <w:color w:val="1F2937"/>
                <w:sz w:val="20"/>
              </w:rPr>
              <w:t>【企业名称】【姓名】您好，我是【机构 + 姓名】。</w:t>
            </w:r>
          </w:p>
          <w:p>
            <w:pPr>
              <w:spacing w:before="10" w:after="20" w:line="270" w:lineRule="auto"/>
              <w:jc w:val="left"/>
            </w:pPr>
            <w:r>
              <w:rPr>
                <w:rFonts w:ascii="Arial Unicode MS" w:hAnsi="Arial Unicode MS" w:eastAsia="Arial Unicode MS" w:cs="Arial Unicode MS"/>
                <w:b w:val="0"/>
                <w:i w:val="0"/>
                <w:color w:val="1F2937"/>
                <w:sz w:val="20"/>
              </w:rPr>
              <w:t>【日期（周几）下午】我们与复旦住房政策研究中心、泰隆银行联合举办"【主题】"专场，面向科技型中小企业，约 25—30 家参加。</w:t>
            </w:r>
          </w:p>
          <w:p>
            <w:pPr>
              <w:spacing w:before="10" w:after="20" w:line="270" w:lineRule="auto"/>
              <w:jc w:val="left"/>
            </w:pPr>
            <w:r>
              <w:rPr>
                <w:rFonts w:ascii="Arial Unicode MS" w:hAnsi="Arial Unicode MS" w:eastAsia="Arial Unicode MS" w:cs="Arial Unicode MS"/>
                <w:b w:val="0"/>
                <w:i w:val="0"/>
                <w:color w:val="1F2937"/>
                <w:sz w:val="20"/>
              </w:rPr>
              <w:t>形式：主题分享 + 企业路演 + 分组问诊（助贷助融 / 出海 / 科技链接三组任选）+ 现场参访。</w:t>
            </w:r>
          </w:p>
          <w:p>
            <w:pPr>
              <w:spacing w:before="10" w:after="20" w:line="270" w:lineRule="auto"/>
              <w:jc w:val="left"/>
            </w:pPr>
            <w:r>
              <w:rPr>
                <w:rFonts w:ascii="Arial Unicode MS" w:hAnsi="Arial Unicode MS" w:eastAsia="Arial Unicode MS" w:cs="Arial Unicode MS"/>
                <w:b w:val="0"/>
                <w:i w:val="0"/>
                <w:color w:val="1F2937"/>
                <w:sz w:val="20"/>
              </w:rPr>
              <w:t>您能得到：一位明确的对接责任人、一份针对贵司的材料或服务清单、不晚于活动后 10 个工作日的首次反馈。</w:t>
            </w:r>
          </w:p>
          <w:p>
            <w:pPr>
              <w:spacing w:before="10" w:after="20" w:line="270" w:lineRule="auto"/>
              <w:jc w:val="left"/>
            </w:pPr>
            <w:r>
              <w:rPr>
                <w:rFonts w:ascii="Arial Unicode MS" w:hAnsi="Arial Unicode MS" w:eastAsia="Arial Unicode MS" w:cs="Arial Unicode MS"/>
                <w:b w:val="0"/>
                <w:i w:val="0"/>
                <w:color w:val="1F2937"/>
                <w:sz w:val="20"/>
              </w:rPr>
              <w:t>活动免费，不收取任何费用；金融业务由银行独立审批，活动本身不作授信承诺。</w:t>
            </w:r>
          </w:p>
          <w:p>
            <w:pPr>
              <w:spacing w:before="10" w:after="20" w:line="270" w:lineRule="auto"/>
              <w:jc w:val="left"/>
            </w:pPr>
            <w:r>
              <w:rPr>
                <w:rFonts w:ascii="Arial Unicode MS" w:hAnsi="Arial Unicode MS" w:eastAsia="Arial Unicode MS" w:cs="Arial Unicode MS"/>
                <w:b w:val="0"/>
                <w:i w:val="0"/>
                <w:color w:val="1F2937"/>
                <w:sz w:val="20"/>
              </w:rPr>
              <w:t>报名表：【链接 / 二维码】，请于【截止日期】前填写。有问题随时问我。</w:t>
            </w:r>
          </w:p>
        </w:tc>
      </w:tr>
    </w:tbl>
    <w:p>
      <w:pPr>
        <w:spacing w:before="0" w:after="100" w:line="300" w:lineRule="auto"/>
        <w:jc w:val="left"/>
      </w:pPr>
    </w:p>
    <w:p>
      <w:pPr>
        <w:spacing w:before="0" w:after="12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7.3 常见异议应答</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624"/>
        <w:gridCol w:w="4690"/>
        <w:gridCol w:w="2706"/>
      </w:tblGrid>
      <w:tr>
        <w:trPr>
          <w:tblHeader w:val="true"/>
          <w:cantSplit/>
        </w:trPr>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企业说</w:t>
            </w:r>
          </w:p>
        </w:tc>
        <w:tc>
          <w:tcPr>
            <w:tcW w:type="dxa" w:w="4690"/>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建议回应</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不要说</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"是不是又是拉贷款的？"</w:t>
            </w:r>
          </w:p>
        </w:tc>
        <w:tc>
          <w:tcPr>
            <w:tcW w:type="dxa" w:w="469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"不是。我们不做中介、不收费。银行来是为了了解真实需求，能不能做、做多少完全走他们自己的审批。您来主要是拿到一个明确的对接人和一份清单。"</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不要说"肯定能给你批"或"我帮你找关系"</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"我们暂时不缺钱。"</w:t>
            </w:r>
          </w:p>
        </w:tc>
        <w:tc>
          <w:tcPr>
            <w:tcW w:type="dxa" w:w="469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"那更合适。这次还有出海和技术场景两组，很多企业是来解决收款路径和场景对接的。您可以只参加对您有用的那一组。"</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不要说"以后总会缺的"</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"没时间。"</w:t>
            </w:r>
          </w:p>
        </w:tc>
        <w:tc>
          <w:tcPr>
            <w:tcW w:type="dxa" w:w="469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"活动是半天，13:30 到 17:00。如果实在来不了，我可以把您的需求先登记进服务池，下一场（【下一场日期】）优先安排，或者单独约一次 30 分钟的线上问诊。"</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不要反复劝说或频繁重拨</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"能保证见到行长吗？"</w:t>
            </w:r>
          </w:p>
        </w:tc>
        <w:tc>
          <w:tcPr>
            <w:tcW w:type="dxa" w:w="469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"分组问诊的主持人是各条线负责人，客户经理全程在场。具体到场名单我们会在活动前一天发您。"</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不要承诺具体人员出席</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"要提供财务报表吗？"</w:t>
            </w:r>
          </w:p>
        </w:tc>
        <w:tc>
          <w:tcPr>
            <w:tcW w:type="dxa" w:w="469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"报名阶段不需要。您只要写清楚问题、金额区间和时间点就行。如果后续进入正式流程，材料由银行通过他们的渠道跟您对接。"</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不要通过微信群或个人渠道索要敏感材料</w:t>
            </w:r>
          </w:p>
        </w:tc>
      </w:tr>
    </w:tbl>
    <w:p>
      <w:pPr>
        <w:pStyle w:val="Heading2"/>
        <w:keepNext/>
        <w:pageBreakBefore/>
        <w:spacing w:before="240" w:after="100" w:line="300" w:lineRule="auto"/>
        <w:jc w:val="left"/>
      </w:pPr>
      <w:r>
        <w:rPr>
          <w:rFonts w:ascii="Arial Unicode MS" w:hAnsi="Arial Unicode MS" w:eastAsia="Arial Unicode MS" w:cs="Arial Unicode MS"/>
          <w:b/>
          <w:i w:val="0"/>
          <w:color w:val="2E74B5"/>
          <w:sz w:val="24"/>
        </w:rPr>
        <w:t>附件 8｜话术包（二）：现场分组问诊</w:t>
      </w:r>
    </w:p>
    <w:p>
      <w:pPr>
        <w:spacing w:before="60" w:after="100" w:line="300" w:lineRule="auto"/>
        <w:jc w:val="left"/>
      </w:pPr>
      <w:r>
        <w:rPr>
          <w:rFonts w:ascii="Arial Unicode MS" w:hAnsi="Arial Unicode MS" w:eastAsia="Arial Unicode MS" w:cs="Arial Unicode MS"/>
          <w:b w:val="0"/>
          <w:i w:val="0"/>
          <w:color w:val="667085"/>
          <w:sz w:val="19"/>
        </w:rPr>
        <w:t>每组时长 60 分钟，建议每家企业 8—10 分钟。统一采用"三段式"：1 分钟定位 → 5 分钟挖需求 → 2 分钟当场定动作。记录员同步填写服务确认卡，结束前与企业口头核对一遍。</w:t>
      </w:r>
    </w:p>
    <w:p>
      <w:pPr>
        <w:pStyle w:val="Heading3"/>
        <w:keepNext/>
        <w:spacing w:before="180" w:after="80" w:line="300" w:lineRule="auto"/>
        <w:jc w:val="left"/>
      </w:pPr>
      <w:r>
        <w:rPr>
          <w:rFonts w:ascii="Arial Unicode MS" w:hAnsi="Arial Unicode MS" w:eastAsia="Arial Unicode MS" w:cs="Arial Unicode MS"/>
          <w:b/>
          <w:i w:val="0"/>
          <w:color w:val="0B2545"/>
          <w:sz w:val="22"/>
        </w:rPr>
        <w:t>8.1 通用开场与收口</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开场（每组主持人）</w:t>
            </w:r>
          </w:p>
          <w:p>
            <w:pPr>
              <w:spacing w:before="10" w:after="20" w:line="270" w:lineRule="auto"/>
              <w:jc w:val="left"/>
            </w:pPr>
            <w:r>
              <w:rPr>
                <w:rFonts w:ascii="Arial Unicode MS" w:hAnsi="Arial Unicode MS" w:eastAsia="Arial Unicode MS" w:cs="Arial Unicode MS"/>
                <w:b w:val="0"/>
                <w:i w:val="0"/>
                <w:color w:val="1F2937"/>
                <w:sz w:val="20"/>
              </w:rPr>
              <w:t>"这一组我们只做一件事：把您的问题变成一件有人负责、有时间点的事。所以待会儿会问得比较具体，麻烦您也尽量说具体一点。说不方便说的部分可以直接跳过。"</w:t>
            </w:r>
          </w:p>
        </w:tc>
      </w:tr>
    </w:tbl>
    <w:p>
      <w:pPr>
        <w:spacing w:before="0" w:after="10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收口（每家企业结束前）</w:t>
            </w:r>
          </w:p>
          <w:p>
            <w:pPr>
              <w:spacing w:before="10" w:after="20" w:line="270" w:lineRule="auto"/>
              <w:jc w:val="left"/>
            </w:pPr>
            <w:r>
              <w:rPr>
                <w:rFonts w:ascii="Arial Unicode MS" w:hAnsi="Arial Unicode MS" w:eastAsia="Arial Unicode MS" w:cs="Arial Unicode MS"/>
                <w:b w:val="0"/>
                <w:i w:val="0"/>
                <w:color w:val="1F2937"/>
                <w:sz w:val="20"/>
              </w:rPr>
              <w:t>"我复述一下：您的问题是【____】，我们这边下一步是【____】，负责人是【____】，最晚【日期】之前给您第一次回复。对吗？"（确认后请企业在服务确认卡上签字）</w:t>
            </w:r>
          </w:p>
        </w:tc>
      </w:tr>
    </w:tbl>
    <w:p>
      <w:pPr>
        <w:spacing w:before="0" w:after="100" w:line="300" w:lineRule="auto"/>
        <w:jc w:val="left"/>
      </w:pPr>
    </w:p>
    <w:p>
      <w:pPr>
        <w:spacing w:before="0" w:after="12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8.2 助贷助融组：问诊提纲</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631"/>
        <w:gridCol w:w="3608"/>
        <w:gridCol w:w="2977"/>
        <w:gridCol w:w="1804"/>
      </w:tblGrid>
      <w:tr>
        <w:trPr>
          <w:tblHeader w:val="true"/>
          <w:cantSplit/>
        </w:trPr>
        <w:tc>
          <w:tcPr>
            <w:tcW w:type="dxa" w:w="63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顺序</w:t>
            </w:r>
          </w:p>
        </w:tc>
        <w:tc>
          <w:tcPr>
            <w:tcW w:type="dxa" w:w="360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问题</w:t>
            </w:r>
          </w:p>
        </w:tc>
        <w:tc>
          <w:tcPr>
            <w:tcW w:type="dxa" w:w="297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想听到什么</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记录到</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这笔钱主要用来做什么？是备货、设备、研发还是垫资？</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具体用途，而非"补充流动资金"</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需求摘要</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大概需要多少？可以给一个区间。什么时候要用？</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金额区间 + 时间点</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融资需求卡</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钱从哪里回来？主要靠哪几个客户或哪类订单？</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还款来源与客户集中度</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融资需求卡</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目前有没有在谈的银行或已有的贷款？</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现有负债与沟通进展</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融资需求卡</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5</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公司有几套账吗？主要用哪套跟外部沟通？</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（委婉版："报表口径以哪一套为准"）判断材料准备度</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材料准备度</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6</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有没有可以说明经营真实性的东西：订单、发票、水电、社保、平台流水？</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可验证材料的存在与获取难度</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材料清单</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7</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公司内部谁来推进这件事？</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内部决策人与执行人</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匹配表</w:t>
            </w:r>
          </w:p>
        </w:tc>
      </w:tr>
    </w:tbl>
    <w:p>
      <w:pPr>
        <w:spacing w:before="0" w:after="12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三种收口方式</w:t>
            </w:r>
          </w:p>
          <w:p>
            <w:pPr>
              <w:spacing w:before="10" w:after="20" w:line="270" w:lineRule="auto"/>
              <w:jc w:val="left"/>
            </w:pPr>
            <w:r>
              <w:rPr>
                <w:rFonts w:ascii="Arial Unicode MS" w:hAnsi="Arial Unicode MS" w:eastAsia="Arial Unicode MS" w:cs="Arial Unicode MS"/>
                <w:b w:val="0"/>
                <w:i w:val="0"/>
                <w:color w:val="1F2937"/>
                <w:sz w:val="20"/>
              </w:rPr>
              <w:t>① 条件较齐："我们把材料清单给您，【客户经理姓名】会在【日期】前联系您走正式流程。"</w:t>
            </w:r>
          </w:p>
          <w:p>
            <w:pPr>
              <w:spacing w:before="10" w:after="20" w:line="270" w:lineRule="auto"/>
              <w:jc w:val="left"/>
            </w:pPr>
            <w:r>
              <w:rPr>
                <w:rFonts w:ascii="Arial Unicode MS" w:hAnsi="Arial Unicode MS" w:eastAsia="Arial Unicode MS" w:cs="Arial Unicode MS"/>
                <w:b w:val="0"/>
                <w:i w:val="0"/>
                <w:color w:val="1F2937"/>
                <w:sz w:val="20"/>
              </w:rPr>
              <w:t>② 材料待补："您这个方向没问题，缺的是【____】。我们先给您一份清单，补齐后随时找我们，计时从您提交材料那天重新算。"</w:t>
            </w:r>
          </w:p>
          <w:p>
            <w:pPr>
              <w:spacing w:before="10" w:after="20" w:line="270" w:lineRule="auto"/>
              <w:jc w:val="left"/>
            </w:pPr>
            <w:r>
              <w:rPr>
                <w:rFonts w:ascii="Arial Unicode MS" w:hAnsi="Arial Unicode MS" w:eastAsia="Arial Unicode MS" w:cs="Arial Unicode MS"/>
                <w:b w:val="0"/>
                <w:i w:val="0"/>
                <w:color w:val="1F2937"/>
                <w:sz w:val="20"/>
              </w:rPr>
              <w:t>③ 暂不适配："以目前的情况，银行信贷这条路短期内可能不合适，主要是【具体原因】。我建议先走【政策/担保/股权/产业资源】这条线，我把对接人给您。"</w:t>
            </w:r>
          </w:p>
        </w:tc>
      </w:tr>
    </w:tbl>
    <w:p>
      <w:pPr>
        <w:spacing w:before="0" w:after="10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FFF4D6"/>
          </w:tcPr>
          <w:p>
            <w:pPr>
              <w:spacing w:before="20" w:after="20" w:line="270" w:lineRule="auto"/>
              <w:jc w:val="left"/>
            </w:pPr>
            <w:r>
              <w:rPr>
                <w:rFonts w:ascii="Arial Unicode MS" w:hAnsi="Arial Unicode MS" w:eastAsia="Arial Unicode MS" w:cs="Arial Unicode MS"/>
                <w:b/>
                <w:i w:val="0"/>
                <w:color w:val="0B2545"/>
                <w:sz w:val="21"/>
              </w:rPr>
              <w:t>本组禁语</w:t>
            </w:r>
          </w:p>
          <w:p>
            <w:pPr>
              <w:spacing w:before="10" w:after="20" w:line="270" w:lineRule="auto"/>
              <w:jc w:val="left"/>
            </w:pPr>
            <w:r>
              <w:rPr>
                <w:rFonts w:ascii="Arial Unicode MS" w:hAnsi="Arial Unicode MS" w:eastAsia="Arial Unicode MS" w:cs="Arial Unicode MS"/>
                <w:b w:val="0"/>
                <w:i w:val="0"/>
                <w:color w:val="1F2937"/>
                <w:sz w:val="20"/>
              </w:rPr>
              <w:t>"这个额度肯定没问题""我帮你打个招呼""按我说的改一下报表""放心，最多两周放款"——一律不得出现。涉及能否办理、办理条件、价格与时限的任何表述，统一回到"由银行独立尽调与审批"。</w:t>
            </w:r>
          </w:p>
        </w:tc>
      </w:tr>
    </w:tbl>
    <w:p>
      <w:pPr>
        <w:spacing w:before="0" w:after="100" w:line="300" w:lineRule="auto"/>
        <w:jc w:val="left"/>
      </w:pPr>
    </w:p>
    <w:p>
      <w:pPr>
        <w:spacing w:before="0" w:after="14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8.3 出海组：问诊提纲</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631"/>
        <w:gridCol w:w="3608"/>
        <w:gridCol w:w="2977"/>
        <w:gridCol w:w="1804"/>
      </w:tblGrid>
      <w:tr>
        <w:trPr>
          <w:tblHeader w:val="true"/>
          <w:cantSplit/>
        </w:trPr>
        <w:tc>
          <w:tcPr>
            <w:tcW w:type="dxa" w:w="63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顺序</w:t>
            </w:r>
          </w:p>
        </w:tc>
        <w:tc>
          <w:tcPr>
            <w:tcW w:type="dxa" w:w="360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问题</w:t>
            </w:r>
          </w:p>
        </w:tc>
        <w:tc>
          <w:tcPr>
            <w:tcW w:type="dxa" w:w="297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想听到什么</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记录到</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目前海外业务到哪一步了：还在看、有零星订单、已经稳定，还是已经设了主体？</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出海阶段判定</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成熟度分级</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主要是哪几个国家或地区？为什么选它？</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目标市场与动因</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需求摘要</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货怎么走、钱怎么收？走平台、走客户直汇还是走第三方？</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交易与收款路径</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金融需求清单</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收的是什么币种？结汇和退税这块现在是谁在处理？</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币种、结汇与退税安排</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金融需求清单</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5</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有没有资金出境或回流上卡住的情况？卡在哪一环？</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真实痛点</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需求摘要</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6</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汇率波动对您的毛利影响大吗？有没有做过锁汇？</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风险管理成熟度</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金融需求清单</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7</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当地的法律、税务、用工这些现在靠谁？</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专业服务缺口</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伙伴匹配</w:t>
            </w:r>
          </w:p>
        </w:tc>
      </w:tr>
    </w:tbl>
    <w:p>
      <w:pPr>
        <w:spacing w:before="0" w:after="12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收口</w:t>
            </w:r>
          </w:p>
          <w:p>
            <w:pPr>
              <w:spacing w:before="10" w:after="20" w:line="270" w:lineRule="auto"/>
              <w:jc w:val="left"/>
            </w:pPr>
            <w:r>
              <w:rPr>
                <w:rFonts w:ascii="Arial Unicode MS" w:hAnsi="Arial Unicode MS" w:eastAsia="Arial Unicode MS" w:cs="Arial Unicode MS"/>
                <w:b w:val="0"/>
                <w:i w:val="0"/>
                <w:color w:val="1F2937"/>
                <w:sz w:val="20"/>
              </w:rPr>
              <w:t>"我们把您归到【准备期/首单期/增长期/本地化期】。金融这块【银行国际业务对接人】会在【日期】前跟您对一次；法律税务这块我们对接【伙伴名称】，他们的收费方式会事先告诉您，您自己决定要不要用。"</w:t>
            </w:r>
          </w:p>
        </w:tc>
      </w:tr>
    </w:tbl>
    <w:p>
      <w:pPr>
        <w:spacing w:before="0" w:after="100" w:line="300" w:lineRule="auto"/>
        <w:jc w:val="left"/>
      </w:pPr>
    </w:p>
    <w:p>
      <w:pPr>
        <w:spacing w:before="0" w:after="14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8.4 科技链接组：问诊提纲</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631"/>
        <w:gridCol w:w="3608"/>
        <w:gridCol w:w="2977"/>
        <w:gridCol w:w="1804"/>
      </w:tblGrid>
      <w:tr>
        <w:trPr>
          <w:tblHeader w:val="true"/>
          <w:cantSplit/>
        </w:trPr>
        <w:tc>
          <w:tcPr>
            <w:tcW w:type="dxa" w:w="63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顺序</w:t>
            </w:r>
          </w:p>
        </w:tc>
        <w:tc>
          <w:tcPr>
            <w:tcW w:type="dxa" w:w="360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问题</w:t>
            </w:r>
          </w:p>
        </w:tc>
        <w:tc>
          <w:tcPr>
            <w:tcW w:type="dxa" w:w="297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想听到什么</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记录到</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您现在最想解决的技术问题是什么？卡在哪个环节？</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可描述、可验证的具体问题</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技术需求卡</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这个问题解决了，对业务意味着什么？能省多少或多做多少？</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价值量化（区间即可）</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技术需求卡</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之前找过谁解决？为什么没成？</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已尝试路径与失败原因</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技术需求卡</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如果有合适的团队或成果，您愿意先做小试还是直接采购？</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合作意愿与形式</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闭环判据</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5</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大概能投入多少预算和多长时间？</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预算区间与周期</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技术需求卡</w:t>
            </w:r>
          </w:p>
        </w:tc>
      </w:tr>
      <w:tr>
        <w:trPr>
          <w:cantSplit/>
        </w:trPr>
        <w:tc>
          <w:tcPr>
            <w:tcW w:type="dxa" w:w="63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6</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（对场景方）您这边有没有可以开放的真实场景做验证？</w:t>
            </w:r>
          </w:p>
        </w:tc>
        <w:tc>
          <w:tcPr>
            <w:tcW w:type="dxa" w:w="29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可开放场景</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场景需求卡</w:t>
            </w:r>
          </w:p>
        </w:tc>
      </w:tr>
      <w:tr>
        <w:trPr>
          <w:cantSplit/>
        </w:trPr>
        <w:tc>
          <w:tcPr>
            <w:tcW w:type="dxa" w:w="63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7</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知识产权和数据这块您有什么要求？</w:t>
            </w:r>
          </w:p>
        </w:tc>
        <w:tc>
          <w:tcPr>
            <w:tcW w:type="dxa" w:w="29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合作边界</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合作意向</w:t>
            </w:r>
          </w:p>
        </w:tc>
      </w:tr>
    </w:tbl>
    <w:p>
      <w:pPr>
        <w:spacing w:before="0" w:after="12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收口</w:t>
            </w:r>
          </w:p>
          <w:p>
            <w:pPr>
              <w:spacing w:before="10" w:after="20" w:line="270" w:lineRule="auto"/>
              <w:jc w:val="left"/>
            </w:pPr>
            <w:r>
              <w:rPr>
                <w:rFonts w:ascii="Arial Unicode MS" w:hAnsi="Arial Unicode MS" w:eastAsia="Arial Unicode MS" w:cs="Arial Unicode MS"/>
                <w:b w:val="0"/>
                <w:i w:val="0"/>
                <w:color w:val="1F2937"/>
                <w:sz w:val="20"/>
              </w:rPr>
              <w:t>"我们会把这张技术需求卡带回去，在【高校团队 / 会员企业 / 园区】里找 2—3 个可能匹配的方向，【日期】前给您第一次反馈。如果匹配上，我们组织一次三方的技术会诊，不收费。"</w:t>
            </w:r>
          </w:p>
        </w:tc>
      </w:tr>
    </w:tbl>
    <w:p>
      <w:pPr>
        <w:pStyle w:val="Heading2"/>
        <w:keepNext/>
        <w:pageBreakBefore/>
        <w:spacing w:before="240" w:after="100" w:line="300" w:lineRule="auto"/>
        <w:jc w:val="left"/>
      </w:pPr>
      <w:r>
        <w:rPr>
          <w:rFonts w:ascii="Arial Unicode MS" w:hAnsi="Arial Unicode MS" w:eastAsia="Arial Unicode MS" w:cs="Arial Unicode MS"/>
          <w:b/>
          <w:i w:val="0"/>
          <w:color w:val="2E74B5"/>
          <w:sz w:val="24"/>
        </w:rPr>
        <w:t>附件 9｜话术包（三）：跟进与结论沟通</w:t>
      </w:r>
    </w:p>
    <w:p>
      <w:pPr>
        <w:pStyle w:val="Heading3"/>
        <w:keepNext/>
        <w:spacing w:before="180" w:after="80" w:line="300" w:lineRule="auto"/>
        <w:jc w:val="left"/>
      </w:pPr>
      <w:r>
        <w:rPr>
          <w:rFonts w:ascii="Arial Unicode MS" w:hAnsi="Arial Unicode MS" w:eastAsia="Arial Unicode MS" w:cs="Arial Unicode MS"/>
          <w:b/>
          <w:i w:val="0"/>
          <w:color w:val="0B2545"/>
          <w:sz w:val="22"/>
        </w:rPr>
        <w:t>9.1 T+3 感谢与预告（微信/邮件）</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val="0"/>
                <w:i w:val="0"/>
                <w:color w:val="1F2937"/>
                <w:sz w:val="20"/>
              </w:rPr>
              <w:t>【姓名】您好，感谢您参加【日期】的【主题】专场。</w:t>
            </w:r>
          </w:p>
          <w:p>
            <w:pPr>
              <w:spacing w:before="10" w:after="20" w:line="270" w:lineRule="auto"/>
              <w:jc w:val="left"/>
            </w:pPr>
            <w:r>
              <w:rPr>
                <w:rFonts w:ascii="Arial Unicode MS" w:hAnsi="Arial Unicode MS" w:eastAsia="Arial Unicode MS" w:cs="Arial Unicode MS"/>
                <w:b w:val="0"/>
                <w:i w:val="0"/>
                <w:color w:val="1F2937"/>
                <w:sz w:val="20"/>
              </w:rPr>
              <w:t>您在现场提出的需求我们已经登记：【需求摘要】。</w:t>
            </w:r>
          </w:p>
          <w:p>
            <w:pPr>
              <w:spacing w:before="10" w:after="20" w:line="270" w:lineRule="auto"/>
              <w:jc w:val="left"/>
            </w:pPr>
            <w:r>
              <w:rPr>
                <w:rFonts w:ascii="Arial Unicode MS" w:hAnsi="Arial Unicode MS" w:eastAsia="Arial Unicode MS" w:cs="Arial Unicode MS"/>
                <w:b w:val="0"/>
                <w:i w:val="0"/>
                <w:color w:val="1F2937"/>
                <w:sz w:val="20"/>
              </w:rPr>
              <w:t>对接人：【姓名 / 电话】。我们会在【T+10 日期】前给您第一次正式反馈。</w:t>
            </w:r>
          </w:p>
          <w:p>
            <w:pPr>
              <w:spacing w:before="10" w:after="20" w:line="270" w:lineRule="auto"/>
              <w:jc w:val="left"/>
            </w:pPr>
            <w:r>
              <w:rPr>
                <w:rFonts w:ascii="Arial Unicode MS" w:hAnsi="Arial Unicode MS" w:eastAsia="Arial Unicode MS" w:cs="Arial Unicode MS"/>
                <w:b w:val="0"/>
                <w:i w:val="0"/>
                <w:color w:val="1F2937"/>
                <w:sz w:val="20"/>
              </w:rPr>
              <w:t>如果这期间贵司情况有变化，或者需要提前沟通，随时找我。</w:t>
            </w:r>
          </w:p>
        </w:tc>
      </w:tr>
    </w:tbl>
    <w:p>
      <w:pPr>
        <w:spacing w:before="0" w:after="10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9.2 T+10 首次反馈（四种情形）</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443"/>
        <w:gridCol w:w="7577"/>
      </w:tblGrid>
      <w:tr>
        <w:trPr>
          <w:tblHeader w:val="true"/>
          <w:cantSplit/>
        </w:trPr>
        <w:tc>
          <w:tcPr>
            <w:tcW w:type="dxa" w:w="144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情形</w:t>
            </w:r>
          </w:p>
        </w:tc>
        <w:tc>
          <w:tcPr>
            <w:tcW w:type="dxa" w:w="7577"/>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话术要点</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已受理</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"您的需求已经进入【银行/伙伴】的正式流程，目前在【环节】。接下来需要您准备【材料】，预计下一个节点在【日期】。要提醒的是，最终能否办理和具体条件由他们独立审批决定，我们会持续跟进进度。"</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待补材料</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"目前差【具体材料】。我把清单发您，标注了哪些是必须的、哪些是可替代的。收到材料后我们重新启动计时，【天数】个工作日内给您下一次反馈。"</w:t>
            </w:r>
          </w:p>
        </w:tc>
      </w:tr>
      <w:tr>
        <w:trPr>
          <w:cantSplit/>
        </w:trPr>
        <w:tc>
          <w:tcPr>
            <w:tcW w:type="dxa" w:w="144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i w:val="0"/>
                <w:color w:val="1F2937"/>
                <w:sz w:val="19"/>
              </w:rPr>
              <w:t>已转介</w:t>
            </w:r>
          </w:p>
        </w:tc>
        <w:tc>
          <w:tcPr>
            <w:tcW w:type="dxa" w:w="7577"/>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"这个需求更适合走【渠道】。我已经对接了【机构 / 姓名】，他们会在【日期】前联系您。他们的服务是否收费、怎么收费，会事先明确告诉您，您自行决定。"</w:t>
            </w:r>
          </w:p>
        </w:tc>
      </w:tr>
      <w:tr>
        <w:trPr>
          <w:cantSplit/>
        </w:trPr>
        <w:tc>
          <w:tcPr>
            <w:tcW w:type="dxa" w:w="144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i w:val="0"/>
                <w:color w:val="1F2937"/>
                <w:sz w:val="19"/>
              </w:rPr>
              <w:t>暂不适配</w:t>
            </w:r>
          </w:p>
        </w:tc>
        <w:tc>
          <w:tcPr>
            <w:tcW w:type="dxa" w:w="7577"/>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见 9.3</w:t>
            </w:r>
          </w:p>
        </w:tc>
      </w:tr>
    </w:tbl>
    <w:p>
      <w:pPr>
        <w:spacing w:before="0" w:after="12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9.3 "暂不适配 / 暂缓"的沟通模板</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结构：结论 → 原因 → 替代路径 → 再评估时点 → 留门</w:t>
            </w:r>
          </w:p>
          <w:p>
            <w:pPr>
              <w:spacing w:before="10" w:after="20" w:line="270" w:lineRule="auto"/>
              <w:jc w:val="left"/>
            </w:pPr>
            <w:r>
              <w:rPr>
                <w:rFonts w:ascii="Arial Unicode MS" w:hAnsi="Arial Unicode MS" w:eastAsia="Arial Unicode MS" w:cs="Arial Unicode MS"/>
                <w:b w:val="0"/>
                <w:i w:val="0"/>
                <w:color w:val="1F2937"/>
                <w:sz w:val="20"/>
              </w:rPr>
              <w:t>"【姓名】您好，关于您【需求摘要】这件事，我给您一个明确的回复。</w:t>
            </w:r>
          </w:p>
          <w:p>
            <w:pPr>
              <w:spacing w:before="10" w:after="20" w:line="270" w:lineRule="auto"/>
              <w:jc w:val="left"/>
            </w:pPr>
            <w:r>
              <w:rPr>
                <w:rFonts w:ascii="Arial Unicode MS" w:hAnsi="Arial Unicode MS" w:eastAsia="Arial Unicode MS" w:cs="Arial Unicode MS"/>
                <w:b w:val="0"/>
                <w:i w:val="0"/>
                <w:color w:val="1F2937"/>
                <w:sz w:val="20"/>
              </w:rPr>
              <w:t>结论：目前这条路暂时走不通。</w:t>
            </w:r>
          </w:p>
          <w:p>
            <w:pPr>
              <w:spacing w:before="10" w:after="20" w:line="270" w:lineRule="auto"/>
              <w:jc w:val="left"/>
            </w:pPr>
            <w:r>
              <w:rPr>
                <w:rFonts w:ascii="Arial Unicode MS" w:hAnsi="Arial Unicode MS" w:eastAsia="Arial Unicode MS" w:cs="Arial Unicode MS"/>
                <w:b w:val="0"/>
                <w:i w:val="0"/>
                <w:color w:val="1F2937"/>
                <w:sz w:val="20"/>
              </w:rPr>
              <w:t>原因：主要是【具体、客观、可改善的原因，如经营年限、材料可验证性、行业阶段等】。这是流程性的判断，不代表对贵司的评价。</w:t>
            </w:r>
          </w:p>
          <w:p>
            <w:pPr>
              <w:spacing w:before="10" w:after="20" w:line="270" w:lineRule="auto"/>
              <w:jc w:val="left"/>
            </w:pPr>
            <w:r>
              <w:rPr>
                <w:rFonts w:ascii="Arial Unicode MS" w:hAnsi="Arial Unicode MS" w:eastAsia="Arial Unicode MS" w:cs="Arial Unicode MS"/>
                <w:b w:val="0"/>
                <w:i w:val="0"/>
                <w:color w:val="1F2937"/>
                <w:sz w:val="20"/>
              </w:rPr>
              <w:t>替代路径：我建议先走【政策申报 / 担保 / 股权 / 产业链资源 / 先做技术验证】这条线，对接人是【姓名】。</w:t>
            </w:r>
          </w:p>
          <w:p>
            <w:pPr>
              <w:spacing w:before="10" w:after="20" w:line="270" w:lineRule="auto"/>
              <w:jc w:val="left"/>
            </w:pPr>
            <w:r>
              <w:rPr>
                <w:rFonts w:ascii="Arial Unicode MS" w:hAnsi="Arial Unicode MS" w:eastAsia="Arial Unicode MS" w:cs="Arial Unicode MS"/>
                <w:b w:val="0"/>
                <w:i w:val="0"/>
                <w:color w:val="1F2937"/>
                <w:sz w:val="20"/>
              </w:rPr>
              <w:t>再评估：等【条件】具备之后——大概【时间】——我们可以重新走一次。到时候我主动联系您。</w:t>
            </w:r>
          </w:p>
          <w:p>
            <w:pPr>
              <w:spacing w:before="10" w:after="20" w:line="270" w:lineRule="auto"/>
              <w:jc w:val="left"/>
            </w:pPr>
            <w:r>
              <w:rPr>
                <w:rFonts w:ascii="Arial Unicode MS" w:hAnsi="Arial Unicode MS" w:eastAsia="Arial Unicode MS" w:cs="Arial Unicode MS"/>
                <w:b w:val="0"/>
                <w:i w:val="0"/>
                <w:color w:val="1F2937"/>
                <w:sz w:val="20"/>
              </w:rPr>
              <w:t>另外，您已经在我们的企业服务池里，后面几场活动我会优先给您留位置。"</w:t>
            </w:r>
          </w:p>
        </w:tc>
      </w:tr>
    </w:tbl>
    <w:p>
      <w:pPr>
        <w:spacing w:before="0" w:after="10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FFF4D6"/>
          </w:tcPr>
          <w:p>
            <w:pPr>
              <w:spacing w:before="20" w:after="20" w:line="270" w:lineRule="auto"/>
              <w:jc w:val="left"/>
            </w:pPr>
            <w:r>
              <w:rPr>
                <w:rFonts w:ascii="Arial Unicode MS" w:hAnsi="Arial Unicode MS" w:eastAsia="Arial Unicode MS" w:cs="Arial Unicode MS"/>
                <w:b/>
                <w:i w:val="0"/>
                <w:color w:val="0B2545"/>
                <w:sz w:val="21"/>
              </w:rPr>
              <w:t>沟通原则</w:t>
            </w:r>
          </w:p>
          <w:p>
            <w:pPr>
              <w:spacing w:before="10" w:after="20" w:line="270" w:lineRule="auto"/>
              <w:jc w:val="left"/>
            </w:pPr>
            <w:r>
              <w:rPr>
                <w:rFonts w:ascii="Arial Unicode MS" w:hAnsi="Arial Unicode MS" w:eastAsia="Arial Unicode MS" w:cs="Arial Unicode MS"/>
                <w:b w:val="0"/>
                <w:i w:val="0"/>
                <w:color w:val="1F2937"/>
                <w:sz w:val="20"/>
              </w:rPr>
              <w:t>① 一定给明确结论，不用"再看看""再等等"拖着；② 原因说客观事实，不说主观评价，不留负面标签；③ 一定给下一步，哪怕只是下一场活动的邀请；④ 结论口径与台账记录必须一致。</w:t>
            </w:r>
          </w:p>
        </w:tc>
      </w:tr>
    </w:tbl>
    <w:p>
      <w:pPr>
        <w:spacing w:before="0" w:after="10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9.4 逾期内部催办话术（周会用）</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val="0"/>
                <w:i w:val="0"/>
                <w:color w:val="1F2937"/>
                <w:sz w:val="20"/>
              </w:rPr>
              <w:t>"任务【编号】已逾期【天数】天，主责【姓名】，卡点是【具体卡点】。</w:t>
            </w:r>
          </w:p>
          <w:p>
            <w:pPr>
              <w:spacing w:before="10" w:after="20" w:line="270" w:lineRule="auto"/>
              <w:jc w:val="left"/>
            </w:pPr>
            <w:r>
              <w:rPr>
                <w:rFonts w:ascii="Arial Unicode MS" w:hAnsi="Arial Unicode MS" w:eastAsia="Arial Unicode MS" w:cs="Arial Unicode MS"/>
                <w:b w:val="0"/>
                <w:i w:val="0"/>
                <w:color w:val="1F2937"/>
                <w:sz w:val="20"/>
              </w:rPr>
              <w:t>现在需要决定三件事：一，这周内能不能推动？二，需要谁配合？三，如果推不动，是否直接转终态并按 9.3 与企业沟通。</w:t>
            </w:r>
          </w:p>
          <w:p>
            <w:pPr>
              <w:spacing w:before="10" w:after="20" w:line="270" w:lineRule="auto"/>
              <w:jc w:val="left"/>
            </w:pPr>
            <w:r>
              <w:rPr>
                <w:rFonts w:ascii="Arial Unicode MS" w:hAnsi="Arial Unicode MS" w:eastAsia="Arial Unicode MS" w:cs="Arial Unicode MS"/>
                <w:b w:val="0"/>
                <w:i w:val="0"/>
                <w:color w:val="1F2937"/>
                <w:sz w:val="20"/>
              </w:rPr>
              <w:t>现在定：【结论】。"</w:t>
            </w:r>
          </w:p>
        </w:tc>
      </w:tr>
    </w:tbl>
    <w:p>
      <w:pPr>
        <w:pStyle w:val="Heading2"/>
        <w:keepNext/>
        <w:pageBreakBefore/>
        <w:spacing w:before="240" w:after="100" w:line="300" w:lineRule="auto"/>
        <w:jc w:val="left"/>
      </w:pPr>
      <w:r>
        <w:rPr>
          <w:rFonts w:ascii="Arial Unicode MS" w:hAnsi="Arial Unicode MS" w:eastAsia="Arial Unicode MS" w:cs="Arial Unicode MS"/>
          <w:b/>
          <w:i w:val="0"/>
          <w:color w:val="2E74B5"/>
          <w:sz w:val="24"/>
        </w:rPr>
        <w:t>附件 10｜主持人逐字稿（关键环节）</w:t>
      </w:r>
    </w:p>
    <w:p>
      <w:pPr>
        <w:pStyle w:val="Heading3"/>
        <w:keepNext/>
        <w:spacing w:before="180" w:after="80" w:line="300" w:lineRule="auto"/>
        <w:jc w:val="left"/>
      </w:pPr>
      <w:r>
        <w:rPr>
          <w:rFonts w:ascii="Arial Unicode MS" w:hAnsi="Arial Unicode MS" w:eastAsia="Arial Unicode MS" w:cs="Arial Unicode MS"/>
          <w:b/>
          <w:i w:val="0"/>
          <w:color w:val="0B2545"/>
          <w:sz w:val="22"/>
        </w:rPr>
        <w:t>10.1 开场（3 分钟）</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val="0"/>
                <w:i w:val="0"/>
                <w:color w:val="1F2937"/>
                <w:sz w:val="20"/>
              </w:rPr>
              <w:t>"各位企业家、各位来宾，下午好。欢迎参加由复旦大学住房政策研究中心、上海市杨浦区科技企业联合会、上海市科技企业联合会与泰隆银行共同举办的【主题】专场。我是今天的主持人【姓名】。</w:t>
            </w:r>
          </w:p>
          <w:p>
            <w:pPr>
              <w:spacing w:before="10" w:after="20" w:line="270" w:lineRule="auto"/>
              <w:jc w:val="left"/>
            </w:pPr>
            <w:r>
              <w:rPr>
                <w:rFonts w:ascii="Arial Unicode MS" w:hAnsi="Arial Unicode MS" w:eastAsia="Arial Unicode MS" w:cs="Arial Unicode MS"/>
                <w:b w:val="0"/>
                <w:i w:val="0"/>
                <w:color w:val="1F2937"/>
                <w:sz w:val="20"/>
              </w:rPr>
              <w:t>先说今天的规则，一共三条，很短。</w:t>
            </w:r>
          </w:p>
          <w:p>
            <w:pPr>
              <w:spacing w:before="10" w:after="20" w:line="270" w:lineRule="auto"/>
              <w:jc w:val="left"/>
            </w:pPr>
            <w:r>
              <w:rPr>
                <w:rFonts w:ascii="Arial Unicode MS" w:hAnsi="Arial Unicode MS" w:eastAsia="Arial Unicode MS" w:cs="Arial Unicode MS"/>
                <w:b w:val="0"/>
                <w:i w:val="0"/>
                <w:color w:val="1F2937"/>
                <w:sz w:val="20"/>
              </w:rPr>
              <w:t>第一，今天的目标不是听会，是解决问题。后面有 60 分钟的分组问诊，每家企业会拿到一张服务确认卡，上面写清楚您的问题、我们这边的负责人，以及最晚什么时候给您第一次回复——这个时间是 10 个工作日以内。</w:t>
            </w:r>
          </w:p>
          <w:p>
            <w:pPr>
              <w:spacing w:before="10" w:after="20" w:line="270" w:lineRule="auto"/>
              <w:jc w:val="left"/>
            </w:pPr>
            <w:r>
              <w:rPr>
                <w:rFonts w:ascii="Arial Unicode MS" w:hAnsi="Arial Unicode MS" w:eastAsia="Arial Unicode MS" w:cs="Arial Unicode MS"/>
                <w:b w:val="0"/>
                <w:i w:val="0"/>
                <w:color w:val="1F2937"/>
                <w:sz w:val="20"/>
              </w:rPr>
              <w:t>第二，边界要讲在前面。今天泰隆银行的同事在场，但现场的任何交流都不代表授信承诺；能不能办、怎么办，由银行按自己的尽调和审批流程独立决定。同时，本次活动不向企业收取任何费用，也不存在任何形式的助贷撮合收费。</w:t>
            </w:r>
          </w:p>
          <w:p>
            <w:pPr>
              <w:spacing w:before="10" w:after="20" w:line="270" w:lineRule="auto"/>
              <w:jc w:val="left"/>
            </w:pPr>
            <w:r>
              <w:rPr>
                <w:rFonts w:ascii="Arial Unicode MS" w:hAnsi="Arial Unicode MS" w:eastAsia="Arial Unicode MS" w:cs="Arial Unicode MS"/>
                <w:b w:val="0"/>
                <w:i w:val="0"/>
                <w:color w:val="1F2937"/>
                <w:sz w:val="20"/>
              </w:rPr>
              <w:t>第三，涉及大家敏感的经营、技术和跨境信息，请在您愿意的范围内交流。今天会有摄影，如果您不希望出镜或不希望公司信息对外露出，请现在举手告诉工作人员，或者在服务卡最后一栏勾选。</w:t>
            </w:r>
          </w:p>
          <w:p>
            <w:pPr>
              <w:spacing w:before="10" w:after="20" w:line="270" w:lineRule="auto"/>
              <w:jc w:val="left"/>
            </w:pPr>
            <w:r>
              <w:rPr>
                <w:rFonts w:ascii="Arial Unicode MS" w:hAnsi="Arial Unicode MS" w:eastAsia="Arial Unicode MS" w:cs="Arial Unicode MS"/>
                <w:b w:val="0"/>
                <w:i w:val="0"/>
                <w:color w:val="1F2937"/>
                <w:sz w:val="20"/>
              </w:rPr>
              <w:t>好，我们开始。"</w:t>
            </w:r>
          </w:p>
        </w:tc>
      </w:tr>
    </w:tbl>
    <w:p>
      <w:pPr>
        <w:spacing w:before="0" w:after="10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10.2 分组前的引导（1 分钟）</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val="0"/>
                <w:i w:val="0"/>
                <w:color w:val="1F2937"/>
                <w:sz w:val="20"/>
              </w:rPr>
              <w:t>"接下来是今天最重要的环节。请大家看一下胸卡右下角的颜色：蓝色是助贷助融组，在【位置】；绿色是出海组，在【位置】；橙色是科技链接组，在【位置】。</w:t>
            </w:r>
          </w:p>
          <w:p>
            <w:pPr>
              <w:spacing w:before="10" w:after="20" w:line="270" w:lineRule="auto"/>
              <w:jc w:val="left"/>
            </w:pPr>
            <w:r>
              <w:rPr>
                <w:rFonts w:ascii="Arial Unicode MS" w:hAnsi="Arial Unicode MS" w:eastAsia="Arial Unicode MS" w:cs="Arial Unicode MS"/>
                <w:b w:val="0"/>
                <w:i w:val="0"/>
                <w:color w:val="1F2937"/>
                <w:sz w:val="20"/>
              </w:rPr>
              <w:t>每组约 60 分钟，每家企业 8 到 10 分钟。请提前想好一句话说清楚您的问题——是什么、多大、什么时候要。旁边的记录员会当场把这些写进服务卡，结束前会跟您核对一遍，请您签字确认。</w:t>
            </w:r>
          </w:p>
          <w:p>
            <w:pPr>
              <w:spacing w:before="10" w:after="20" w:line="270" w:lineRule="auto"/>
              <w:jc w:val="left"/>
            </w:pPr>
            <w:r>
              <w:rPr>
                <w:rFonts w:ascii="Arial Unicode MS" w:hAnsi="Arial Unicode MS" w:eastAsia="Arial Unicode MS" w:cs="Arial Unicode MS"/>
                <w:b w:val="0"/>
                <w:i w:val="0"/>
                <w:color w:val="1F2937"/>
                <w:sz w:val="20"/>
              </w:rPr>
              <w:t>如果您的需求跨两个组，先去主要的那个，剩下的我们会后统一安排。"</w:t>
            </w:r>
          </w:p>
        </w:tc>
      </w:tr>
    </w:tbl>
    <w:p>
      <w:pPr>
        <w:spacing w:before="0" w:after="100" w:line="300" w:lineRule="auto"/>
        <w:jc w:val="left"/>
      </w:pPr>
    </w:p>
    <w:p>
      <w:pPr>
        <w:pStyle w:val="Heading3"/>
        <w:keepNext/>
        <w:spacing w:before="180" w:after="80" w:line="300" w:lineRule="auto"/>
        <w:jc w:val="left"/>
      </w:pPr>
      <w:r>
        <w:rPr>
          <w:rFonts w:ascii="Arial Unicode MS" w:hAnsi="Arial Unicode MS" w:eastAsia="Arial Unicode MS" w:cs="Arial Unicode MS"/>
          <w:b/>
          <w:i w:val="0"/>
          <w:color w:val="0B2545"/>
          <w:sz w:val="22"/>
        </w:rPr>
        <w:t>10.3 收尾（2 分钟）</w:t>
      </w: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val="0"/>
                <w:i w:val="0"/>
                <w:color w:val="1F2937"/>
                <w:sz w:val="20"/>
              </w:rPr>
              <w:t>"今天一共有【__】家企业完成了服务确认卡，形成了【__】项待跟进的事项。这些事项会在 3 个工作日内建档、5 个工作日内分派到人、10 个工作日内给各位第一次回复。</w:t>
            </w:r>
          </w:p>
          <w:p>
            <w:pPr>
              <w:spacing w:before="10" w:after="20" w:line="270" w:lineRule="auto"/>
              <w:jc w:val="left"/>
            </w:pPr>
            <w:r>
              <w:rPr>
                <w:rFonts w:ascii="Arial Unicode MS" w:hAnsi="Arial Unicode MS" w:eastAsia="Arial Unicode MS" w:cs="Arial Unicode MS"/>
                <w:b w:val="0"/>
                <w:i w:val="0"/>
                <w:color w:val="1F2937"/>
                <w:sz w:val="20"/>
              </w:rPr>
              <w:t>如果到了时间您没有收到回音，请直接联系我，我的电话是【____】——这是我们的承诺，也是我们内部考核的指标。</w:t>
            </w:r>
          </w:p>
          <w:p>
            <w:pPr>
              <w:spacing w:before="10" w:after="20" w:line="270" w:lineRule="auto"/>
              <w:jc w:val="left"/>
            </w:pPr>
            <w:r>
              <w:rPr>
                <w:rFonts w:ascii="Arial Unicode MS" w:hAnsi="Arial Unicode MS" w:eastAsia="Arial Unicode MS" w:cs="Arial Unicode MS"/>
                <w:b w:val="0"/>
                <w:i w:val="0"/>
                <w:color w:val="1F2937"/>
                <w:sz w:val="20"/>
              </w:rPr>
              <w:t>下一场是【日期】的【主题】，报名通知会在【日期】前发出。感谢泰隆银行、感谢各位专家，也感谢各位企业家。今天到此结束。"</w:t>
            </w:r>
          </w:p>
        </w:tc>
      </w:tr>
    </w:tbl>
    <w:p>
      <w:pPr>
        <w:spacing w:before="0" w:after="100" w:line="300" w:lineRule="auto"/>
        <w:jc w:val="left"/>
      </w:pPr>
    </w:p>
    <w:p>
      <w:pPr>
        <w:spacing w:before="0" w:after="16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附件 11｜物料清单与现场布置</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082"/>
        <w:gridCol w:w="3969"/>
        <w:gridCol w:w="2165"/>
        <w:gridCol w:w="1804"/>
      </w:tblGrid>
      <w:tr>
        <w:trPr>
          <w:tblHeader w:val="true"/>
          <w:cantSplit/>
        </w:trPr>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类别</w:t>
            </w:r>
          </w:p>
        </w:tc>
        <w:tc>
          <w:tcPr>
            <w:tcW w:type="dxa" w:w="3969"/>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物品</w:t>
            </w:r>
          </w:p>
        </w:tc>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数量口径</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责任岗</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签到区</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签到表、授权名单、胸卡（按三链分色）、指引牌、企业资料包</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按确认到场人数 +10%</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签到组</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会场</w:t>
            </w:r>
          </w:p>
        </w:tc>
        <w:tc>
          <w:tcPr>
            <w:tcW w:type="dxa" w:w="396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席卡、议程单、服务确认卡、笔、问卷、易拉宝、背景板</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服务卡 = 企业数 ×1.5</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会务负责人</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分组区</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三组桌牌、分组名单、记录员用夹板、计时器</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每组 1 套</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记录员</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设备</w:t>
            </w:r>
          </w:p>
        </w:tc>
        <w:tc>
          <w:tcPr>
            <w:tcW w:type="dxa" w:w="396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投影、音响、话筒 2 支、翻页笔、插排、备用网络</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含 1 套备份</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承办方</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餐饮</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茶歇（含无糖 / 无咖啡因选项）、瓶装水</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按人数 ×1.2</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会务组</w:t>
            </w:r>
          </w:p>
        </w:tc>
      </w:tr>
      <w:tr>
        <w:trPr>
          <w:cantSplit/>
        </w:trPr>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摄影</w:t>
            </w:r>
          </w:p>
        </w:tc>
        <w:tc>
          <w:tcPr>
            <w:tcW w:type="dxa" w:w="3969"/>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摄影清单、无拍摄区标识、授权勾选表</w:t>
            </w:r>
          </w:p>
        </w:tc>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每场 1 套</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摄影 / 传播</w:t>
            </w:r>
          </w:p>
        </w:tc>
      </w:tr>
      <w:tr>
        <w:trPr>
          <w:cantSplit/>
        </w:trPr>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应急</w:t>
            </w:r>
          </w:p>
        </w:tc>
        <w:tc>
          <w:tcPr>
            <w:tcW w:type="dxa" w:w="3969"/>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急救包、应急联系人表、备用打印材料、备用充电宝</w:t>
            </w:r>
          </w:p>
        </w:tc>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每场 1 套</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会务负责人</w:t>
            </w:r>
          </w:p>
        </w:tc>
      </w:tr>
    </w:tbl>
    <w:p>
      <w:pPr>
        <w:spacing w:before="0" w:after="120" w:line="300" w:lineRule="auto"/>
        <w:jc w:val="left"/>
      </w:pPr>
    </w:p>
    <w:p>
      <w:pPr>
        <w:spacing w:before="60" w:after="100" w:line="300" w:lineRule="auto"/>
        <w:jc w:val="left"/>
      </w:pPr>
      <w:r>
        <w:rPr>
          <w:rFonts w:ascii="Arial Unicode MS" w:hAnsi="Arial Unicode MS" w:eastAsia="Arial Unicode MS" w:cs="Arial Unicode MS"/>
          <w:b w:val="0"/>
          <w:i w:val="0"/>
          <w:color w:val="667085"/>
          <w:sz w:val="19"/>
        </w:rPr>
        <w:t>布置要点：签到台设在入口正对面并留出 2 米缓冲区；三个分组区之间保持可视但不互相干扰，建议呈品字形；银行客户经理在茶歇期间定点站位（每组 1—2 人），由引导员按胸卡颜色导流，避免"围人"和冷场并存。</w:t>
      </w:r>
    </w:p>
    <w:p>
      <w:pPr>
        <w:spacing w:before="0" w:after="16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附件 12｜应急预案</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2165"/>
        <w:gridCol w:w="1624"/>
        <w:gridCol w:w="3608"/>
        <w:gridCol w:w="1623"/>
      </w:tblGrid>
      <w:tr>
        <w:trPr>
          <w:tblHeader w:val="true"/>
          <w:cantSplit/>
        </w:trPr>
        <w:tc>
          <w:tcPr>
            <w:tcW w:type="dxa" w:w="2165"/>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情形</w:t>
            </w:r>
          </w:p>
        </w:tc>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判定</w:t>
            </w:r>
          </w:p>
        </w:tc>
        <w:tc>
          <w:tcPr>
            <w:tcW w:type="dxa" w:w="3608"/>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处置</w:t>
            </w:r>
          </w:p>
        </w:tc>
        <w:tc>
          <w:tcPr>
            <w:tcW w:type="dxa" w:w="162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决策人</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主讲嘉宾临时无法到场</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活动前 24 小时内告知</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启用备用嘉宾；或改为主持人访谈相关条线负责人；议程顺序不变</w:t>
            </w:r>
          </w:p>
        </w:tc>
        <w:tc>
          <w:tcPr>
            <w:tcW w:type="dxa" w:w="162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项目经理</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到场率低于 60%</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 日签到截止时</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三组合并为两组；延长每家企业问诊时间；不削减服务卡产出</w:t>
            </w:r>
          </w:p>
        </w:tc>
        <w:tc>
          <w:tcPr>
            <w:tcW w:type="dxa" w:w="162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项目经理</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设备或网络故障</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开场前 30 分钟未恢复</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切换纸质议程与讲义；讲稿改为无 PPT 讲述；取消直播</w:t>
            </w:r>
          </w:p>
        </w:tc>
        <w:tc>
          <w:tcPr>
            <w:tcW w:type="dxa" w:w="162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会务负责人</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出现推销、拉客或疑似中介行为</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现场发现</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当场制止并请离；记录机构与人员；取消其后续参与资格</w:t>
            </w:r>
          </w:p>
        </w:tc>
        <w:tc>
          <w:tcPr>
            <w:tcW w:type="dxa" w:w="162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项目经理 + 合规窗口</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企业敏感信息被不当拍摄或外传</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现场或事后发现</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要求当场删除；书面说明；必要时由合规窗口出面处理并通报四方</w:t>
            </w:r>
          </w:p>
        </w:tc>
        <w:tc>
          <w:tcPr>
            <w:tcW w:type="dxa" w:w="162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合规与数据窗口</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被访企业临时取消接待</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 至 T 日</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启用备用参访点或改为线上连线；提前 12 小时通知全部报名企业</w:t>
            </w:r>
          </w:p>
        </w:tc>
        <w:tc>
          <w:tcPr>
            <w:tcW w:type="dxa" w:w="162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承办方 + 项目经理</w:t>
            </w:r>
          </w:p>
        </w:tc>
      </w:tr>
      <w:tr>
        <w:trPr>
          <w:cantSplit/>
        </w:trPr>
        <w:tc>
          <w:tcPr>
            <w:tcW w:type="dxa" w:w="2165"/>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人员身体不适或安全事件</w:t>
            </w:r>
          </w:p>
        </w:tc>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现场</w:t>
            </w:r>
          </w:p>
        </w:tc>
        <w:tc>
          <w:tcPr>
            <w:tcW w:type="dxa" w:w="3608"/>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按承办场所应急流程处置；同时启动应急联系人表</w:t>
            </w:r>
          </w:p>
        </w:tc>
        <w:tc>
          <w:tcPr>
            <w:tcW w:type="dxa" w:w="162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会务负责人</w:t>
            </w:r>
          </w:p>
        </w:tc>
      </w:tr>
      <w:tr>
        <w:trPr>
          <w:cantSplit/>
        </w:trPr>
        <w:tc>
          <w:tcPr>
            <w:tcW w:type="dxa" w:w="2165"/>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极端天气或公共事件</w:t>
            </w:r>
          </w:p>
        </w:tc>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T-1 或 T 日</w:t>
            </w:r>
          </w:p>
        </w:tc>
        <w:tc>
          <w:tcPr>
            <w:tcW w:type="dxa" w:w="3608"/>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按主管部门要求顺延；已备物料转用于下一场；企业统一书面告知</w:t>
            </w:r>
          </w:p>
        </w:tc>
        <w:tc>
          <w:tcPr>
            <w:tcW w:type="dxa" w:w="162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指导组</w:t>
            </w:r>
          </w:p>
        </w:tc>
      </w:tr>
    </w:tbl>
    <w:p>
      <w:pPr>
        <w:pStyle w:val="Heading1"/>
        <w:keepNext/>
        <w:pageBreakBefore/>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十四、启动决议与首月行动清单</w:t>
      </w:r>
    </w:p>
    <w:p>
      <w:pPr>
        <w:pStyle w:val="Heading2"/>
        <w:keepNext/>
        <w:spacing w:before="240" w:after="100" w:line="300" w:lineRule="auto"/>
        <w:jc w:val="left"/>
      </w:pPr>
      <w:r>
        <w:rPr>
          <w:rFonts w:ascii="Arial Unicode MS" w:hAnsi="Arial Unicode MS" w:eastAsia="Arial Unicode MS" w:cs="Arial Unicode MS"/>
          <w:b/>
          <w:i w:val="0"/>
          <w:color w:val="2E74B5"/>
          <w:sz w:val="24"/>
        </w:rPr>
        <w:t>14.1 建议四方在首次筹备会上形成的书面共识</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451"/>
        <w:gridCol w:w="5863"/>
        <w:gridCol w:w="2706"/>
      </w:tblGrid>
      <w:tr>
        <w:trPr>
          <w:tblHeader w:val="true"/>
          <w:cantSplit/>
        </w:trPr>
        <w:tc>
          <w:tcPr>
            <w:tcW w:type="dxa" w:w="451"/>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序</w:t>
            </w:r>
          </w:p>
        </w:tc>
        <w:tc>
          <w:tcPr>
            <w:tcW w:type="dxa" w:w="5863"/>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决议事项</w:t>
            </w:r>
          </w:p>
        </w:tc>
        <w:tc>
          <w:tcPr>
            <w:tcW w:type="dxa" w:w="2706"/>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确认方式</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1</w:t>
            </w:r>
          </w:p>
        </w:tc>
        <w:tc>
          <w:tcPr>
            <w:tcW w:type="dxa" w:w="58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同意以 2026 年 8—12 月作为示范周期，原则上每月 1 场旗舰活动，日期按 3.1 表执行</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会议纪要四方签字</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2</w:t>
            </w:r>
          </w:p>
        </w:tc>
        <w:tc>
          <w:tcPr>
            <w:tcW w:type="dxa" w:w="58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各方指定 1 名固定项目联系人及 1 名备份，并确认三条服务通道负责人</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填入 7.2 RACI 矩阵</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3</w:t>
            </w:r>
          </w:p>
        </w:tc>
        <w:tc>
          <w:tcPr>
            <w:tcW w:type="dxa" w:w="58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同意使用统一的企业报名表、服务确认卡和跟进台账（附件 1、2、4）</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模板定稿并分发</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4</w:t>
            </w:r>
          </w:p>
        </w:tc>
        <w:tc>
          <w:tcPr>
            <w:tcW w:type="dxa" w:w="58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同意执行"3—5—10—30"服务时限，并对逾期事项按 12.1 升级</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写入各方内部工作安排</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5</w:t>
            </w:r>
          </w:p>
        </w:tc>
        <w:tc>
          <w:tcPr>
            <w:tcW w:type="dxa" w:w="58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确认全周期预算口径与费用分担原则（第八章），并各自启动内部审批</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预算表签批</w:t>
            </w:r>
          </w:p>
        </w:tc>
      </w:tr>
      <w:tr>
        <w:trPr>
          <w:cantSplit/>
        </w:trPr>
        <w:tc>
          <w:tcPr>
            <w:tcW w:type="dxa" w:w="451"/>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6</w:t>
            </w:r>
          </w:p>
        </w:tc>
        <w:tc>
          <w:tcPr>
            <w:tcW w:type="dxa" w:w="5863"/>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确认对外口径与宣传审阅窗口，明确未经审阅不得对外发布</w:t>
            </w:r>
          </w:p>
        </w:tc>
        <w:tc>
          <w:tcPr>
            <w:tcW w:type="dxa" w:w="2706"/>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口径清单发布</w:t>
            </w:r>
          </w:p>
        </w:tc>
      </w:tr>
      <w:tr>
        <w:trPr>
          <w:cantSplit/>
        </w:trPr>
        <w:tc>
          <w:tcPr>
            <w:tcW w:type="dxa" w:w="451"/>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7</w:t>
            </w:r>
          </w:p>
        </w:tc>
        <w:tc>
          <w:tcPr>
            <w:tcW w:type="dxa" w:w="5863"/>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同意在合规和企业授权前提下，于 12 月形成年度成果报告及下一周期方案</w:t>
            </w:r>
          </w:p>
        </w:tc>
        <w:tc>
          <w:tcPr>
            <w:tcW w:type="dxa" w:w="2706"/>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写入年度计划</w:t>
            </w:r>
          </w:p>
        </w:tc>
      </w:tr>
    </w:tbl>
    <w:p>
      <w:pPr>
        <w:spacing w:before="0" w:after="120" w:line="300" w:lineRule="auto"/>
        <w:jc w:val="left"/>
      </w:pPr>
    </w:p>
    <w:p>
      <w:pPr>
        <w:spacing w:before="0" w:after="140" w:line="300" w:lineRule="auto"/>
        <w:jc w:val="left"/>
      </w:pPr>
    </w:p>
    <w:p>
      <w:pPr>
        <w:pStyle w:val="Heading2"/>
        <w:keepNext/>
        <w:spacing w:before="240" w:after="100" w:line="300" w:lineRule="auto"/>
        <w:jc w:val="left"/>
      </w:pPr>
      <w:r>
        <w:rPr>
          <w:rFonts w:ascii="Arial Unicode MS" w:hAnsi="Arial Unicode MS" w:eastAsia="Arial Unicode MS" w:cs="Arial Unicode MS"/>
          <w:b/>
          <w:i w:val="0"/>
          <w:color w:val="2E74B5"/>
          <w:sz w:val="24"/>
        </w:rPr>
        <w:t>14.2 首月行动清单（7 月 29 日 — 8 月 27 日）</w:t>
      </w:r>
    </w:p>
    <w:tbl>
      <w:tblPr>
        <w:tblW w:type="auto" w:w="0"/>
        <w:jc w:val="left"/>
        <w:tblLook w:firstColumn="1" w:firstRow="1" w:lastColumn="0" w:lastRow="0" w:noHBand="0" w:noVBand="1" w:val="04A0"/>
        <w:tblLayout w:type="fixed"/>
        <w:tblW w:w="9020" w:type="dxa"/>
        <w:tblBorders>
          <w:top w:val="single" w:sz="4" w:space="0" w:color="C9D3DF"/>
          <w:left w:val="single" w:sz="4" w:space="0" w:color="C9D3DF"/>
          <w:bottom w:val="single" w:sz="4" w:space="0" w:color="C9D3DF"/>
          <w:right w:val="single" w:sz="4" w:space="0" w:color="C9D3DF"/>
          <w:insideH w:val="single" w:sz="2" w:space="0" w:color="DDE4EC"/>
          <w:insideV w:val="single" w:sz="2" w:space="0" w:color="DDE4EC"/>
        </w:tblBorders>
      </w:tblPr>
      <w:tblGrid>
        <w:gridCol w:w="1624"/>
        <w:gridCol w:w="4510"/>
        <w:gridCol w:w="1804"/>
        <w:gridCol w:w="1082"/>
      </w:tblGrid>
      <w:tr>
        <w:trPr>
          <w:tblHeader w:val="true"/>
          <w:cantSplit/>
        </w:trPr>
        <w:tc>
          <w:tcPr>
            <w:tcW w:type="dxa" w:w="162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日期</w:t>
            </w:r>
          </w:p>
        </w:tc>
        <w:tc>
          <w:tcPr>
            <w:tcW w:type="dxa" w:w="4510"/>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行动</w:t>
            </w:r>
          </w:p>
        </w:tc>
        <w:tc>
          <w:tcPr>
            <w:tcW w:type="dxa" w:w="1804"/>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责任人（填写）</w:t>
            </w:r>
          </w:p>
        </w:tc>
        <w:tc>
          <w:tcPr>
            <w:tcW w:type="dxa" w:w="1082"/>
            <w:tcMar>
              <w:top w:w="70" w:type="dxa"/>
              <w:left w:w="110" w:type="dxa"/>
              <w:bottom w:w="70" w:type="dxa"/>
              <w:right w:w="110" w:type="dxa"/>
            </w:tcMar>
            <w:shd w:val="clear" w:color="auto" w:fill="F2F4F7"/>
          </w:tcPr>
          <w:p>
            <w:pPr>
              <w:spacing w:before="20" w:after="20" w:line="270" w:lineRule="auto"/>
              <w:jc w:val="left"/>
            </w:pPr>
            <w:r>
              <w:rPr>
                <w:rFonts w:ascii="Arial Unicode MS" w:hAnsi="Arial Unicode MS" w:eastAsia="Arial Unicode MS" w:cs="Arial Unicode MS"/>
                <w:b/>
                <w:i w:val="0"/>
                <w:color w:val="0B2545"/>
                <w:sz w:val="19"/>
              </w:rPr>
              <w:t>状态</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7 月 29 日（周三）</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四方筹备会；通过本方案；填写 RACI 矩阵；确认首场方案与预算</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7 月 30 日（周四）</w:t>
            </w:r>
          </w:p>
        </w:tc>
        <w:tc>
          <w:tcPr>
            <w:tcW w:type="dxa" w:w="451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第 2 场（9 月 10 日）立项会同步召开，确定出海专题方向与嘉宾</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7 月 31 日（周五）</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首场任务书定稿；场地锁定；银行出具可对外口径清单</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3 日（周一）</w:t>
            </w:r>
          </w:p>
        </w:tc>
        <w:tc>
          <w:tcPr>
            <w:tcW w:type="dxa" w:w="451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发布首场邀请函、报名表、数据用途说明；建立三张台账表</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5 日（周三）</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启动客户与会员需求摸排问卷（AI 应用 / 出海意向）</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7 日（周五）</w:t>
            </w:r>
          </w:p>
        </w:tc>
        <w:tc>
          <w:tcPr>
            <w:tcW w:type="dxa" w:w="451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首场报名首轮截止；启动定向补邀；报名进度通报</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11 日（周二）</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企业 A/B/C 分层；席位确认；A 类企业预访谈完成</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13 日（周四）</w:t>
            </w:r>
          </w:p>
        </w:tc>
        <w:tc>
          <w:tcPr>
            <w:tcW w:type="dxa" w:w="451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匹配表定稿；服务席位排班；物料下单；第 2 场三件套发布</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17 日（周一）</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全流程彩排；主持稿与讲稿终审；应急预案确认</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19 日（周三）</w:t>
            </w:r>
          </w:p>
        </w:tc>
        <w:tc>
          <w:tcPr>
            <w:tcW w:type="dxa" w:w="451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到场确认；设备与场地检查；敏感内容与摄影边界复核</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20 日（周四）</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第 1 场活动执行；当日资料归档</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8 月 25 日（周二）</w:t>
            </w:r>
          </w:p>
        </w:tc>
        <w:tc>
          <w:tcPr>
            <w:tcW w:type="dxa" w:w="4510"/>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T+3：建档、感谢信、授权记录归档</w:t>
            </w:r>
          </w:p>
        </w:tc>
        <w:tc>
          <w:tcPr>
            <w:tcW w:type="dxa" w:w="1804"/>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AFBFC"/>
          </w:tcPr>
          <w:p>
            <w:pPr>
              <w:spacing w:before="20" w:after="20" w:line="270" w:lineRule="auto"/>
              <w:jc w:val="left"/>
            </w:pPr>
            <w:r>
              <w:rPr>
                <w:rFonts w:ascii="Arial Unicode MS" w:hAnsi="Arial Unicode MS" w:eastAsia="Arial Unicode MS" w:cs="Arial Unicode MS"/>
                <w:b w:val="0"/>
                <w:i w:val="0"/>
                <w:color w:val="1F2937"/>
                <w:sz w:val="19"/>
              </w:rPr>
              <w:t>□</w:t>
            </w:r>
          </w:p>
        </w:tc>
      </w:tr>
      <w:tr>
        <w:trPr>
          <w:cantSplit/>
        </w:trPr>
        <w:tc>
          <w:tcPr>
            <w:tcW w:type="dxa" w:w="162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8 月 27 日（周四）</w:t>
            </w:r>
          </w:p>
        </w:tc>
        <w:tc>
          <w:tcPr>
            <w:tcW w:type="dxa" w:w="4510"/>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T+5：任务分派完成；首场 KPI 首次通报；第 2 场分层与匹配</w:t>
            </w:r>
          </w:p>
        </w:tc>
        <w:tc>
          <w:tcPr>
            <w:tcW w:type="dxa" w:w="1804"/>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__________</w:t>
            </w:r>
          </w:p>
        </w:tc>
        <w:tc>
          <w:tcPr>
            <w:tcW w:type="dxa" w:w="1082"/>
            <w:tcMar>
              <w:top w:w="70" w:type="dxa"/>
              <w:left w:w="110" w:type="dxa"/>
              <w:bottom w:w="70" w:type="dxa"/>
              <w:right w:w="110" w:type="dxa"/>
            </w:tcMar>
            <w:shd w:val="clear" w:color="auto" w:fill="FFFFFF"/>
          </w:tcPr>
          <w:p>
            <w:pPr>
              <w:spacing w:before="20" w:after="20" w:line="270" w:lineRule="auto"/>
              <w:jc w:val="left"/>
            </w:pPr>
            <w:r>
              <w:rPr>
                <w:rFonts w:ascii="Arial Unicode MS" w:hAnsi="Arial Unicode MS" w:eastAsia="Arial Unicode MS" w:cs="Arial Unicode MS"/>
                <w:b w:val="0"/>
                <w:i w:val="0"/>
                <w:color w:val="1F2937"/>
                <w:sz w:val="19"/>
              </w:rPr>
              <w:t>□</w:t>
            </w:r>
          </w:p>
        </w:tc>
      </w:tr>
    </w:tbl>
    <w:p>
      <w:pPr>
        <w:spacing w:before="0" w:after="120" w:line="300" w:lineRule="auto"/>
        <w:jc w:val="left"/>
      </w:pPr>
    </w:p>
    <w:p>
      <w:pPr>
        <w:spacing w:before="0" w:after="140" w:line="300" w:lineRule="auto"/>
        <w:jc w:val="left"/>
      </w:pPr>
    </w:p>
    <w:tbl>
      <w:tblPr>
        <w:tblW w:type="auto" w:w="0"/>
        <w:jc w:val="left"/>
        <w:tblLook w:firstColumn="1" w:firstRow="1" w:lastColumn="0" w:lastRow="0" w:noHBand="0" w:noVBand="1" w:val="04A0"/>
        <w:tblLayout w:type="fixed"/>
        <w:tblW w:w="9020" w:type="dxa"/>
        <w:tblBorders>
          <w:top w:val="single" w:sz="4" w:space="0" w:color="D6DEE8"/>
          <w:left w:val="single" w:sz="18" w:space="0" w:color="0B2545"/>
          <w:bottom w:val="single" w:sz="4" w:space="0" w:color="D6DEE8"/>
          <w:right w:val="single" w:sz="4" w:space="0" w:color="D6DEE8"/>
          <w:insideH w:val="none" w:sz="0" w:color="auto"/>
          <w:insideV w:val="none" w:sz="0" w:color="auto"/>
        </w:tblBorders>
      </w:tblPr>
      <w:tblGrid>
        <w:gridCol w:w="9020"/>
      </w:tblGrid>
      <w:tr>
        <w:trPr>
          <w:cantSplit/>
        </w:trPr>
        <w:tc>
          <w:tcPr>
            <w:tcW w:type="dxa" w:w="9020"/>
            <w:tcMar>
              <w:top w:w="100" w:type="dxa"/>
              <w:left w:w="160" w:type="dxa"/>
              <w:bottom w:w="100" w:type="dxa"/>
              <w:right w:w="160" w:type="dxa"/>
            </w:tcMar>
            <w:shd w:val="clear" w:color="auto" w:fill="E8EEF5"/>
          </w:tcPr>
          <w:p>
            <w:pPr>
              <w:spacing w:before="20" w:after="20" w:line="270" w:lineRule="auto"/>
              <w:jc w:val="left"/>
            </w:pPr>
            <w:r>
              <w:rPr>
                <w:rFonts w:ascii="Arial Unicode MS" w:hAnsi="Arial Unicode MS" w:eastAsia="Arial Unicode MS" w:cs="Arial Unicode MS"/>
                <w:b/>
                <w:i w:val="0"/>
                <w:color w:val="0B2545"/>
                <w:sz w:val="21"/>
              </w:rPr>
              <w:t>一句话执行口诀</w:t>
            </w:r>
          </w:p>
          <w:p>
            <w:pPr>
              <w:spacing w:before="10" w:after="20" w:line="270" w:lineRule="auto"/>
              <w:jc w:val="left"/>
            </w:pPr>
            <w:r>
              <w:rPr>
                <w:rFonts w:ascii="Arial Unicode MS" w:hAnsi="Arial Unicode MS" w:eastAsia="Arial Unicode MS" w:cs="Arial Unicode MS"/>
                <w:b w:val="0"/>
                <w:i w:val="0"/>
                <w:color w:val="1F2937"/>
                <w:sz w:val="20"/>
              </w:rPr>
              <w:t>固定周四、固定三链、固定一张卡、固定 3—5—10—30。凡是没有责任人和日期的事项，一律不进台账；凡是进了台账的事项，一律有终态。</w:t>
            </w:r>
          </w:p>
        </w:tc>
      </w:tr>
    </w:tbl>
    <w:p>
      <w:pPr>
        <w:spacing w:before="0" w:after="100" w:line="300" w:lineRule="auto"/>
        <w:jc w:val="left"/>
      </w:pPr>
    </w:p>
    <w:p>
      <w:pPr>
        <w:spacing w:before="0" w:after="160" w:line="300" w:lineRule="auto"/>
        <w:jc w:val="left"/>
      </w:pPr>
    </w:p>
    <w:p>
      <w:pPr>
        <w:pStyle w:val="Heading1"/>
        <w:keepNext/>
        <w:spacing w:before="320" w:after="140" w:line="300" w:lineRule="auto"/>
        <w:jc w:val="left"/>
        <w:pBdr>
          <w:bottom w:val="single" w:sz="8" w:space="4" w:color="0B2545"/>
        </w:pBdr>
      </w:pPr>
      <w:r>
        <w:rPr>
          <w:rFonts w:ascii="Arial Unicode MS" w:hAnsi="Arial Unicode MS" w:eastAsia="Arial Unicode MS" w:cs="Arial Unicode MS"/>
          <w:b/>
          <w:i w:val="0"/>
          <w:color w:val="0B2545"/>
          <w:sz w:val="28"/>
        </w:rPr>
        <w:t>附：公开信息依据</w:t>
      </w:r>
    </w:p>
    <w:p>
      <w:pPr>
        <w:spacing w:before="60" w:after="100" w:line="300" w:lineRule="auto"/>
        <w:jc w:val="left"/>
      </w:pPr>
      <w:r>
        <w:rPr>
          <w:rFonts w:ascii="Arial Unicode MS" w:hAnsi="Arial Unicode MS" w:eastAsia="Arial Unicode MS" w:cs="Arial Unicode MS"/>
          <w:b w:val="0"/>
          <w:i w:val="0"/>
          <w:color w:val="1F2937"/>
          <w:sz w:val="21"/>
        </w:rPr>
        <w:t>本方案对泰隆银行定位及业务场景的表述，参考其官方网站公开信息；具体合作范围、产品与办理条件以泰隆银行最终确认为准。</w:t>
      </w:r>
    </w:p>
    <w:p>
      <w:pPr>
        <w:spacing w:before="60" w:after="100" w:line="300" w:lineRule="auto"/>
        <w:jc w:val="left"/>
      </w:pPr>
      <w:r>
        <w:rPr>
          <w:rFonts w:ascii="Arial Unicode MS" w:hAnsi="Arial Unicode MS" w:eastAsia="Arial Unicode MS" w:cs="Arial Unicode MS"/>
          <w:b w:val="0"/>
          <w:i w:val="0"/>
          <w:color w:val="1F2937"/>
          <w:sz w:val="21"/>
        </w:rPr>
        <w:t>1. 泰隆银行简介：官方简介页面</w:t>
      </w:r>
    </w:p>
    <w:p>
      <w:pPr>
        <w:spacing w:before="60" w:after="100" w:line="300" w:lineRule="auto"/>
        <w:jc w:val="left"/>
      </w:pPr>
      <w:r>
        <w:rPr>
          <w:rFonts w:ascii="Arial Unicode MS" w:hAnsi="Arial Unicode MS" w:eastAsia="Arial Unicode MS" w:cs="Arial Unicode MS"/>
          <w:b w:val="0"/>
          <w:i w:val="0"/>
          <w:color w:val="1F2937"/>
          <w:sz w:val="21"/>
        </w:rPr>
        <w:t>2. 泰隆银行官方网站（企业业务、国际业务栏目）：官方网站首页</w:t>
      </w:r>
    </w:p>
    <w:p>
      <w:pPr>
        <w:spacing w:before="60" w:after="100" w:line="300" w:lineRule="auto"/>
        <w:jc w:val="left"/>
      </w:pPr>
      <w:r>
        <w:rPr>
          <w:rFonts w:ascii="Arial Unicode MS" w:hAnsi="Arial Unicode MS" w:eastAsia="Arial Unicode MS" w:cs="Arial Unicode MS"/>
          <w:b w:val="0"/>
          <w:i w:val="0"/>
          <w:color w:val="1F2937"/>
          <w:sz w:val="21"/>
        </w:rPr>
        <w:t>3. 泰隆银行参展 SIBOS 2025 相关公开信息：官方新闻页面</w:t>
      </w:r>
    </w:p>
    <w:p>
      <w:pPr>
        <w:spacing w:before="0" w:after="120" w:line="300" w:lineRule="auto"/>
        <w:jc w:val="left"/>
      </w:pPr>
    </w:p>
    <w:p>
      <w:pPr>
        <w:spacing w:before="60" w:after="100" w:line="300" w:lineRule="auto"/>
        <w:jc w:val="left"/>
      </w:pPr>
      <w:r>
        <w:rPr>
          <w:rFonts w:ascii="Arial Unicode MS" w:hAnsi="Arial Unicode MS" w:eastAsia="Arial Unicode MS" w:cs="Arial Unicode MS"/>
          <w:b w:val="0"/>
          <w:i w:val="0"/>
          <w:color w:val="667085"/>
          <w:sz w:val="19"/>
        </w:rPr>
        <w:t>本文中涉及的企业名称、专题方向、日期与预算数字，均为工作建议口径，须经四方与银行内部相应流程确认后方可执行或对外使用。</w:t>
      </w:r>
    </w:p>
    <w:sectPr w:rsidR="00FC693F" w:rsidRPr="0006063C" w:rsidSect="00034616">
      <w:headerReference w:type="default" r:id="rId9"/>
      <w:footerReference w:type="default" r:id="rId10"/>
      <w:pgSz w:w="12240" w:h="15840"/>
      <w:pgMar w:top="1200" w:right="1160" w:bottom="120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Unicode MS" w:hAnsi="Arial Unicode MS" w:eastAsia="Arial Unicode MS" w:cs="Arial Unicode MS"/>
        <w:b w:val="0"/>
        <w:i w:val="0"/>
        <w:color w:val="667085"/>
        <w:sz w:val="16"/>
      </w:rPr>
      <w:t xml:space="preserve">第 </w:t>
    </w:r>
    <w:r>
      <w:rPr>
        <w:rFonts w:ascii="Arial Unicode MS" w:hAnsi="Arial Unicode MS" w:eastAsia="Arial Unicode MS" w:cs="Arial Unicode MS"/>
        <w:b w:val="0"/>
        <w:i w:val="0"/>
        <w:color w:val="667085"/>
        <w:sz w:val="16"/>
      </w:rPr>
      <w:fldChar w:fldCharType="begin"/>
    </w:r>
    <w:r>
      <w:rPr>
        <w:rFonts w:ascii="Arial Unicode MS" w:hAnsi="Arial Unicode MS" w:eastAsia="Arial Unicode MS" w:cs="Arial Unicode MS"/>
        <w:b w:val="0"/>
        <w:i w:val="0"/>
        <w:color w:val="667085"/>
        <w:sz w:val="16"/>
      </w:rPr>
      <w:instrText xml:space="preserve"> PAGE </w:instrText>
    </w:r>
    <w:r>
      <w:rPr>
        <w:rFonts w:ascii="Arial Unicode MS" w:hAnsi="Arial Unicode MS" w:eastAsia="Arial Unicode MS" w:cs="Arial Unicode MS"/>
        <w:b w:val="0"/>
        <w:i w:val="0"/>
        <w:color w:val="667085"/>
        <w:sz w:val="16"/>
      </w:rPr>
      <w:fldChar w:fldCharType="end"/>
    </w:r>
    <w:r>
      <w:rPr>
        <w:rFonts w:ascii="Arial Unicode MS" w:hAnsi="Arial Unicode MS" w:eastAsia="Arial Unicode MS" w:cs="Arial Unicode MS"/>
        <w:b w:val="0"/>
        <w:i w:val="0"/>
        <w:color w:val="667085"/>
        <w:sz w:val="16"/>
      </w:rPr>
      <w:t xml:space="preserve"> 页 / 共 </w:t>
    </w:r>
    <w:r>
      <w:rPr>
        <w:rFonts w:ascii="Arial Unicode MS" w:hAnsi="Arial Unicode MS" w:eastAsia="Arial Unicode MS" w:cs="Arial Unicode MS"/>
        <w:b w:val="0"/>
        <w:i w:val="0"/>
        <w:color w:val="667085"/>
        <w:sz w:val="16"/>
      </w:rPr>
      <w:fldChar w:fldCharType="begin"/>
    </w:r>
    <w:r>
      <w:rPr>
        <w:rFonts w:ascii="Arial Unicode MS" w:hAnsi="Arial Unicode MS" w:eastAsia="Arial Unicode MS" w:cs="Arial Unicode MS"/>
        <w:b w:val="0"/>
        <w:i w:val="0"/>
        <w:color w:val="667085"/>
        <w:sz w:val="16"/>
      </w:rPr>
      <w:instrText xml:space="preserve"> NUMPAGES </w:instrText>
    </w:r>
    <w:r>
      <w:rPr>
        <w:rFonts w:ascii="Arial Unicode MS" w:hAnsi="Arial Unicode MS" w:eastAsia="Arial Unicode MS" w:cs="Arial Unicode MS"/>
        <w:b w:val="0"/>
        <w:i w:val="0"/>
        <w:color w:val="667085"/>
        <w:sz w:val="16"/>
      </w:rPr>
      <w:fldChar w:fldCharType="end"/>
    </w:r>
    <w:r>
      <w:rPr>
        <w:rFonts w:ascii="Arial Unicode MS" w:hAnsi="Arial Unicode MS" w:eastAsia="Arial Unicode MS" w:cs="Arial Unicode MS"/>
        <w:b w:val="0"/>
        <w:i w:val="0"/>
        <w:color w:val="667085"/>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Bdr>
        <w:bottom w:val="single" w:sz="4" w:space="3" w:color="DDE4EC"/>
      </w:pBdr>
    </w:pPr>
    <w:r>
      <w:rPr>
        <w:rFonts w:ascii="Arial Unicode MS" w:hAnsi="Arial Unicode MS" w:eastAsia="Arial Unicode MS" w:cs="Arial Unicode MS"/>
        <w:b w:val="0"/>
        <w:i w:val="0"/>
        <w:color w:val="667085"/>
        <w:sz w:val="16"/>
      </w:rPr>
      <w:t>泰隆银行小微与科技企业参访合作实施方案｜2026 年 8—12 月｜可执行稿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