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keepNext w:val="1"/>
        <w:keepLines w:val="1"/>
      </w:pPr>
      <w:r>
        <w:rPr>
          <w:rFonts w:ascii="Arial Unicode MS" w:hAnsi="Arial Unicode MS" w:eastAsia="Arial Unicode MS"/>
          <w:color w:val="2E74B5"/>
          <w:sz w:val="22"/>
        </w:rPr>
        <w:t>合作实施方案</w:t>
      </w:r>
    </w:p>
    <w:p>
      <w:pPr>
        <w:spacing w:before="240" w:after="200"/>
        <w:keepLines w:val="1"/>
      </w:pPr>
      <w:r>
        <w:rPr>
          <w:rFonts w:ascii="Arial Unicode MS" w:hAnsi="Arial Unicode MS" w:eastAsia="Arial Unicode MS"/>
          <w:b/>
          <w:color w:val="0B2545"/>
          <w:sz w:val="50"/>
        </w:rPr>
        <w:t>泰隆银行小微与科技企业</w:t>
        <w:br/>
        <w:t>参访合作计划</w:t>
      </w:r>
    </w:p>
    <w:p>
      <w:pPr>
        <w:spacing w:after="480"/>
        <w:keepLines w:val="1"/>
      </w:pPr>
      <w:r>
        <w:rPr>
          <w:rFonts w:ascii="Arial Unicode MS" w:hAnsi="Arial Unicode MS" w:eastAsia="Arial Unicode MS"/>
          <w:color w:val="1F4D78"/>
          <w:sz w:val="28"/>
        </w:rPr>
        <w:t>2026 年 8—12 月示范周期｜计划表、SOP 与配套执行材料</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7560"/>
      </w:tblGrid>
      <w:tr>
        <w:trPr>
          <w:trHeight w:hRule="atLeast"/>
          <w:tblHeader w:val="true"/>
        </w:trPr>
        <w:tc>
          <w:tcPr>
            <w:tcW w:type="dxa" w:w="1800"/>
            <w:shd w:fill="E8EEF5"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20"/>
              </w:rPr>
              <w:t>项目</w:t>
            </w:r>
          </w:p>
        </w:tc>
        <w:tc>
          <w:tcPr>
            <w:tcW w:type="dxa" w:w="7560"/>
            <w:shd w:fill="E8EEF5"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20"/>
              </w:rPr>
              <w:t>内容</w:t>
            </w:r>
          </w:p>
        </w:tc>
      </w:tr>
      <w:tr>
        <w:trPr>
          <w:trHeight w:hRule="atLeast"/>
        </w:trPr>
        <w:tc>
          <w:tcPr>
            <w:tcW w:type="dxa" w:w="18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color w:val="1F2937"/>
                <w:sz w:val="20"/>
              </w:rPr>
              <w:t>联合发起</w:t>
            </w:r>
          </w:p>
        </w:tc>
        <w:tc>
          <w:tcPr>
            <w:tcW w:type="dxa" w:w="75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20"/>
              </w:rPr>
              <w:t>复旦大学住房政策研究中心</w:t>
            </w:r>
          </w:p>
        </w:tc>
      </w:tr>
      <w:tr>
        <w:trPr>
          <w:trHeight w:hRule="atLeast"/>
        </w:trPr>
        <w:tc>
          <w:tcPr>
            <w:tcW w:type="dxa" w:w="18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color w:val="1F2937"/>
                <w:sz w:val="20"/>
              </w:rPr>
            </w:r>
          </w:p>
        </w:tc>
        <w:tc>
          <w:tcPr>
            <w:tcW w:type="dxa" w:w="75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20"/>
              </w:rPr>
              <w:t>上海市杨浦区科技企业联合会</w:t>
            </w:r>
          </w:p>
        </w:tc>
      </w:tr>
      <w:tr>
        <w:trPr>
          <w:trHeight w:hRule="atLeast"/>
        </w:trPr>
        <w:tc>
          <w:tcPr>
            <w:tcW w:type="dxa" w:w="18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color w:val="1F2937"/>
                <w:sz w:val="20"/>
              </w:rPr>
            </w:r>
          </w:p>
        </w:tc>
        <w:tc>
          <w:tcPr>
            <w:tcW w:type="dxa" w:w="75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20"/>
              </w:rPr>
              <w:t>上海市科技企业联合会</w:t>
            </w:r>
          </w:p>
        </w:tc>
      </w:tr>
      <w:tr>
        <w:trPr>
          <w:trHeight w:hRule="atLeast"/>
        </w:trPr>
        <w:tc>
          <w:tcPr>
            <w:tcW w:type="dxa" w:w="18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color w:val="1F2937"/>
                <w:sz w:val="20"/>
              </w:rPr>
              <w:t>拟合作方</w:t>
            </w:r>
          </w:p>
        </w:tc>
        <w:tc>
          <w:tcPr>
            <w:tcW w:type="dxa" w:w="75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20"/>
              </w:rPr>
              <w:t>浙江泰隆商业银行（上海地区相关机构，以最终确认为准）</w:t>
            </w:r>
          </w:p>
        </w:tc>
      </w:tr>
      <w:tr>
        <w:trPr>
          <w:trHeight w:hRule="atLeast"/>
        </w:trPr>
        <w:tc>
          <w:tcPr>
            <w:tcW w:type="dxa" w:w="18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color w:val="1F2937"/>
                <w:sz w:val="20"/>
              </w:rPr>
              <w:t>方案定位</w:t>
            </w:r>
          </w:p>
        </w:tc>
        <w:tc>
          <w:tcPr>
            <w:tcW w:type="dxa" w:w="75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20"/>
              </w:rPr>
              <w:t>服务小微企业与中小型企业客户，构建“金融 + 出海 + 科技”资源生态</w:t>
            </w:r>
          </w:p>
        </w:tc>
      </w:tr>
      <w:tr>
        <w:trPr>
          <w:trHeight w:hRule="atLeast"/>
        </w:trPr>
        <w:tc>
          <w:tcPr>
            <w:tcW w:type="dxa" w:w="18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color w:val="1F2937"/>
                <w:sz w:val="20"/>
              </w:rPr>
              <w:t>版本日期</w:t>
            </w:r>
          </w:p>
        </w:tc>
        <w:tc>
          <w:tcPr>
            <w:tcW w:type="dxa" w:w="75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20"/>
              </w:rPr>
              <w:t>2026 年 7 月｜讨论稿 V1.0</w:t>
            </w:r>
          </w:p>
        </w:tc>
      </w:tr>
    </w:tbl>
    <w:p>
      <w:pPr>
        <w:spacing w:after="40"/>
        <w:keepLines w:val="1"/>
      </w:pPr>
    </w:p>
    <w:tbl>
      <w:tblPr>
        <w:tblW w:type="dxa" w:w="9360"/>
        <w:jc w:val="left"/>
        <w:tblLayout w:type="fixed"/>
        <w:tblLook w:firstColumn="1" w:firstRow="1" w:lastColumn="0" w:lastRow="0" w:noHBand="0" w:noVBand="1" w:val="04A0"/>
        <w:tblInd w:w="120" w:type="dxa"/>
        <w:tblBorders>
          <w:top w:val="single" w:sz="2" w:space="0" w:color="FFF4D6"/>
          <w:left w:val="single" w:sz="2" w:space="0" w:color="FFF4D6"/>
          <w:bottom w:val="single" w:sz="2" w:space="0" w:color="FFF4D6"/>
          <w:right w:val="single" w:sz="2" w:space="0" w:color="FFF4D6"/>
          <w:insideH w:val="single" w:sz="2" w:space="0" w:color="FFF4D6"/>
          <w:insideV w:val="single" w:sz="2" w:space="0" w:color="FFF4D6"/>
        </w:tblBorders>
      </w:tblPr>
      <w:tblGrid>
        <w:gridCol w:w="9360"/>
      </w:tblGrid>
      <w:tr>
        <w:trPr>
          <w:trHeight w:hRule="atLeast"/>
          <w:tblHeader w:val="true"/>
        </w:trPr>
        <w:tc>
          <w:tcPr>
            <w:tcW w:type="dxa" w:w="9360"/>
            <w:tcMar>
              <w:top w:w="80" w:type="dxa"/>
              <w:start w:w="120" w:type="dxa"/>
              <w:bottom w:w="80" w:type="dxa"/>
              <w:end w:w="120" w:type="dxa"/>
            </w:tcMar>
            <w:vAlign w:val="center"/>
            <w:shd w:fill="FFF4D6" w:val="clear"/>
          </w:tcPr>
          <w:p>
            <w:pPr>
              <w:spacing w:after="0"/>
              <w:keepLines w:val="1"/>
            </w:pPr>
            <w:r>
              <w:rPr>
                <w:rFonts w:ascii="Arial Unicode MS" w:hAnsi="Arial Unicode MS" w:eastAsia="Arial Unicode MS"/>
                <w:b/>
                <w:color w:val="1F4D78"/>
                <w:sz w:val="22"/>
              </w:rPr>
              <w:t xml:space="preserve">核心主张  </w:t>
            </w:r>
            <w:r>
              <w:rPr>
                <w:rFonts w:ascii="Arial Unicode MS" w:hAnsi="Arial Unicode MS" w:eastAsia="Arial Unicode MS"/>
                <w:color w:val="1F2937"/>
                <w:sz w:val="22"/>
              </w:rPr>
              <w:t>把企业参访从单次交流升级为可持续服务入口：活动前识别真实需求，活动中完成专业诊断与资源匹配，活动后进入 30 日跟进台账，并将成熟案例回流为下一期企业筛选与服务产品。</w:t>
            </w:r>
          </w:p>
        </w:tc>
      </w:tr>
    </w:tbl>
    <w:p>
      <w:pPr>
        <w:spacing w:after="40"/>
        <w:keepLines w:val="1"/>
      </w:pPr>
    </w:p>
    <w:p>
      <w:pPr>
        <w:spacing w:after="0"/>
        <w:keepLines w:val="1"/>
      </w:pPr>
      <w:r>
        <w:rPr>
          <w:rFonts w:ascii="Arial Unicode MS" w:hAnsi="Arial Unicode MS" w:eastAsia="Arial Unicode MS"/>
          <w:color w:val="9B1C1C"/>
          <w:sz w:val="22"/>
        </w:rPr>
        <w:t>本方案为合作机制建议稿，不构成泰隆银行对任何企业授信、利率、期限、放款时点或跨境业务办理结果的承诺；所有金融业务以银行独立尽调、审批及合规要求为准。</w:t>
      </w:r>
    </w:p>
    <w:p>
      <w:pPr>
        <w:keepLines w:val="1"/>
      </w:pPr>
      <w:r>
        <w:br w:type="page"/>
      </w:r>
    </w:p>
    <w:p>
      <w:pPr>
        <w:pStyle w:val="Heading1"/>
        <w:keepLines w:val="1"/>
      </w:pPr>
      <w:r>
        <w:rPr>
          <w:rFonts w:ascii="Arial Unicode MS" w:hAnsi="Arial Unicode MS" w:eastAsia="Arial Unicode MS"/>
          <w:b/>
          <w:color w:val="2E74B5"/>
          <w:sz w:val="32"/>
        </w:rPr>
        <w:t>一、项目背景与合作定位</w:t>
      </w:r>
    </w:p>
    <w:p>
      <w:pPr>
        <w:spacing w:after="120"/>
        <w:keepLines w:val="1"/>
      </w:pPr>
      <w:r>
        <w:rPr>
          <w:rFonts w:ascii="Arial Unicode MS" w:hAnsi="Arial Unicode MS" w:eastAsia="Arial Unicode MS"/>
          <w:color w:val="1F2937"/>
          <w:sz w:val="22"/>
        </w:rPr>
        <w:t>泰隆银行长期坚持服务小微企业、践行普惠金融，并形成面向小微企业的金融服务与风险管理经验。结合高校智库的研究与政策连接能力、科技企业联合会的企业组织能力，以及银行的金融与客户服务能力，三方可共同建设面向上海科技型小微企业和中小企业的常态化参访与服务平台。</w:t>
      </w:r>
    </w:p>
    <w:p>
      <w:pPr>
        <w:spacing w:after="120"/>
        <w:keepLines w:val="1"/>
      </w:pPr>
      <w:r>
        <w:rPr>
          <w:rFonts w:ascii="Arial Unicode MS" w:hAnsi="Arial Unicode MS" w:eastAsia="Arial Unicode MS"/>
          <w:color w:val="1F2937"/>
          <w:sz w:val="22"/>
        </w:rPr>
        <w:t>项目以 2026 年 8—12 月为示范周期，采用“月度主题参访 + 专题闭门诊断 + 线上跟踪台账”的组织方式。参访既可安排在泰隆银行指定的上海地区机构，也可根据主题走进园区、企业、实验室或服务机构，形成双向开放的资源场景。</w:t>
      </w:r>
    </w:p>
    <w:p>
      <w:pPr>
        <w:pStyle w:val="Heading2"/>
        <w:keepLines w:val="1"/>
      </w:pPr>
      <w:r>
        <w:rPr>
          <w:rFonts w:ascii="Arial Unicode MS" w:hAnsi="Arial Unicode MS" w:eastAsia="Arial Unicode MS"/>
          <w:b/>
          <w:color w:val="2E74B5"/>
          <w:sz w:val="26"/>
        </w:rPr>
        <w:t>1.1 总体目标</w:t>
      </w:r>
    </w:p>
    <w:p>
      <w:pPr>
        <w:numPr>
          <w:ilvl w:val="0"/>
          <w:numId w:val="10"/>
        </w:numPr>
        <w:spacing w:after="160" w:line="280" w:lineRule="auto"/>
        <w:keepLines w:val="1"/>
      </w:pPr>
      <w:r>
        <w:rPr>
          <w:rFonts w:ascii="Arial Unicode MS" w:hAnsi="Arial Unicode MS" w:eastAsia="Arial Unicode MS"/>
          <w:color w:val="1F2937"/>
          <w:sz w:val="22"/>
        </w:rPr>
        <w:t>建立稳定企业入口：形成可验证、可分层、可持续触达的小微及中小企业服务池。</w:t>
      </w:r>
    </w:p>
    <w:p>
      <w:pPr>
        <w:numPr>
          <w:ilvl w:val="0"/>
          <w:numId w:val="10"/>
        </w:numPr>
        <w:spacing w:after="160" w:line="280" w:lineRule="auto"/>
        <w:keepLines w:val="1"/>
      </w:pPr>
      <w:r>
        <w:rPr>
          <w:rFonts w:ascii="Arial Unicode MS" w:hAnsi="Arial Unicode MS" w:eastAsia="Arial Unicode MS"/>
          <w:color w:val="1F2937"/>
          <w:sz w:val="22"/>
        </w:rPr>
        <w:t>建立三条服务通道：助贷与助融、出海支持、科技链接，做到需求有归口、事项有责任人、进度有反馈。</w:t>
      </w:r>
    </w:p>
    <w:p>
      <w:pPr>
        <w:numPr>
          <w:ilvl w:val="0"/>
          <w:numId w:val="10"/>
        </w:numPr>
        <w:spacing w:after="160" w:line="280" w:lineRule="auto"/>
        <w:keepLines w:val="1"/>
      </w:pPr>
      <w:r>
        <w:rPr>
          <w:rFonts w:ascii="Arial Unicode MS" w:hAnsi="Arial Unicode MS" w:eastAsia="Arial Unicode MS"/>
          <w:color w:val="1F2937"/>
          <w:sz w:val="22"/>
        </w:rPr>
        <w:t>建立闭环合作机制：将参访线索转化为服务任务，将服务成果沉淀为案例、产品和下一轮活动选题。</w:t>
      </w:r>
    </w:p>
    <w:p>
      <w:pPr>
        <w:numPr>
          <w:ilvl w:val="0"/>
          <w:numId w:val="10"/>
        </w:numPr>
        <w:spacing w:after="160" w:line="280" w:lineRule="auto"/>
        <w:keepLines w:val="1"/>
      </w:pPr>
      <w:r>
        <w:rPr>
          <w:rFonts w:ascii="Arial Unicode MS" w:hAnsi="Arial Unicode MS" w:eastAsia="Arial Unicode MS"/>
          <w:color w:val="1F2937"/>
          <w:sz w:val="22"/>
        </w:rPr>
        <w:t>建立合规边界：金融业务独立审批；数据授权、最小必要使用；对外宣传不夸大、不作结果承诺。</w:t>
      </w:r>
    </w:p>
    <w:p>
      <w:pPr>
        <w:pStyle w:val="Heading2"/>
        <w:keepLines w:val="1"/>
      </w:pPr>
      <w:r>
        <w:rPr>
          <w:rFonts w:ascii="Arial Unicode MS" w:hAnsi="Arial Unicode MS" w:eastAsia="Arial Unicode MS"/>
          <w:b/>
          <w:color w:val="2E74B5"/>
          <w:sz w:val="26"/>
        </w:rPr>
        <w:t>1.2 合作价值</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600"/>
        <w:gridCol w:w="3500"/>
        <w:gridCol w:w="4260"/>
      </w:tblGrid>
      <w:tr>
        <w:trPr>
          <w:trHeight w:hRule="atLeast"/>
          <w:tblHeader w:val="true"/>
        </w:trPr>
        <w:tc>
          <w:tcPr>
            <w:tcW w:type="dxa" w:w="160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7"/>
              </w:rPr>
              <w:t>参与方</w:t>
            </w:r>
          </w:p>
        </w:tc>
        <w:tc>
          <w:tcPr>
            <w:tcW w:type="dxa" w:w="350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7"/>
              </w:rPr>
              <w:t>核心投入</w:t>
            </w:r>
          </w:p>
        </w:tc>
        <w:tc>
          <w:tcPr>
            <w:tcW w:type="dxa" w:w="426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7"/>
              </w:rPr>
              <w:t>主要获得</w:t>
            </w:r>
          </w:p>
        </w:tc>
      </w:tr>
      <w:tr>
        <w:trPr>
          <w:trHeight w:hRule="atLeast"/>
        </w:trPr>
        <w:tc>
          <w:tcPr>
            <w:tcW w:type="dxa" w:w="16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泰隆银行</w:t>
            </w:r>
          </w:p>
        </w:tc>
        <w:tc>
          <w:tcPr>
            <w:tcW w:type="dxa" w:w="35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小微金融能力、客户经理、跨境及企业服务资源、场地与案例</w:t>
            </w:r>
          </w:p>
        </w:tc>
        <w:tc>
          <w:tcPr>
            <w:tcW w:type="dxa" w:w="42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高质量企业触达、需求洞察、客户综合服务与品牌影响</w:t>
            </w:r>
          </w:p>
        </w:tc>
      </w:tr>
      <w:tr>
        <w:trPr>
          <w:trHeight w:hRule="atLeast"/>
        </w:trPr>
        <w:tc>
          <w:tcPr>
            <w:tcW w:type="dxa" w:w="16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复旦大学住房政策研究中心</w:t>
            </w:r>
          </w:p>
        </w:tc>
        <w:tc>
          <w:tcPr>
            <w:tcW w:type="dxa" w:w="35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研究方法、政策解读、专家资源、产业与城市议题连接</w:t>
            </w:r>
          </w:p>
        </w:tc>
        <w:tc>
          <w:tcPr>
            <w:tcW w:type="dxa" w:w="42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企业样本与实践案例、产学研课题、成果转化与公共影响</w:t>
            </w:r>
          </w:p>
        </w:tc>
      </w:tr>
      <w:tr>
        <w:trPr>
          <w:trHeight w:hRule="atLeast"/>
        </w:trPr>
        <w:tc>
          <w:tcPr>
            <w:tcW w:type="dxa" w:w="16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杨浦区科技企业联合会</w:t>
            </w:r>
          </w:p>
        </w:tc>
        <w:tc>
          <w:tcPr>
            <w:tcW w:type="dxa" w:w="35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区内企业组织、园区网络、需求征集、属地协调</w:t>
            </w:r>
          </w:p>
        </w:tc>
        <w:tc>
          <w:tcPr>
            <w:tcW w:type="dxa" w:w="42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会员精准服务、融资与技术资源、企业成长案例</w:t>
            </w:r>
          </w:p>
        </w:tc>
      </w:tr>
      <w:tr>
        <w:trPr>
          <w:trHeight w:hRule="atLeast"/>
        </w:trPr>
        <w:tc>
          <w:tcPr>
            <w:tcW w:type="dxa" w:w="16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上海市科技企业联合会</w:t>
            </w:r>
          </w:p>
        </w:tc>
        <w:tc>
          <w:tcPr>
            <w:tcW w:type="dxa" w:w="35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全市企业覆盖、产业链资源、专业服务伙伴</w:t>
            </w:r>
          </w:p>
        </w:tc>
        <w:tc>
          <w:tcPr>
            <w:tcW w:type="dxa" w:w="42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跨区域协同、供需匹配、科技企业服务体系完善</w:t>
            </w:r>
          </w:p>
        </w:tc>
      </w:tr>
      <w:tr>
        <w:trPr>
          <w:trHeight w:hRule="atLeast"/>
        </w:trPr>
        <w:tc>
          <w:tcPr>
            <w:tcW w:type="dxa" w:w="16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参与企业</w:t>
            </w:r>
          </w:p>
        </w:tc>
        <w:tc>
          <w:tcPr>
            <w:tcW w:type="dxa" w:w="35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真实经营信息、明确需求、按期反馈</w:t>
            </w:r>
          </w:p>
        </w:tc>
        <w:tc>
          <w:tcPr>
            <w:tcW w:type="dxa" w:w="42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融资诊断、出海服务、技术与场景连接、同业交流</w:t>
            </w:r>
          </w:p>
        </w:tc>
      </w:tr>
    </w:tbl>
    <w:p>
      <w:pPr>
        <w:spacing w:after="40"/>
        <w:keepLines w:val="1"/>
      </w:pPr>
    </w:p>
    <w:p>
      <w:pPr>
        <w:pStyle w:val="Heading1"/>
        <w:keepLines w:val="1"/>
      </w:pPr>
      <w:r>
        <w:rPr>
          <w:rFonts w:ascii="Arial Unicode MS" w:hAnsi="Arial Unicode MS" w:eastAsia="Arial Unicode MS"/>
          <w:b/>
          <w:color w:val="2E74B5"/>
          <w:sz w:val="32"/>
        </w:rPr>
        <w:t>二、总体架构：一池、三链、五场、七步</w:t>
      </w:r>
    </w:p>
    <w:p>
      <w:pPr>
        <w:spacing w:after="120"/>
        <w:keepLines w:val="1"/>
      </w:pPr>
      <w:r>
        <w:rPr>
          <w:rFonts w:ascii="Arial Unicode MS" w:hAnsi="Arial Unicode MS" w:eastAsia="Arial Unicode MS"/>
          <w:color w:val="1F2937"/>
          <w:sz w:val="22"/>
        </w:rPr>
        <w:t>项目建议采用“一池、三链、五场、七步”的运行框架，确保每一场参访都能沉淀企业档案、服务任务和可追踪结果。</w:t>
      </w:r>
    </w:p>
    <w:p>
      <w:pPr>
        <w:pStyle w:val="Heading2"/>
        <w:keepLines w:val="1"/>
      </w:pPr>
      <w:r>
        <w:rPr>
          <w:rFonts w:ascii="Arial Unicode MS" w:hAnsi="Arial Unicode MS" w:eastAsia="Arial Unicode MS"/>
          <w:b/>
          <w:color w:val="2E74B5"/>
          <w:sz w:val="26"/>
        </w:rPr>
        <w:t>2.1 一池：联合企业服务池</w:t>
      </w:r>
    </w:p>
    <w:p>
      <w:pPr>
        <w:spacing w:after="120"/>
        <w:keepLines w:val="1"/>
      </w:pPr>
      <w:r>
        <w:rPr>
          <w:rFonts w:ascii="Arial Unicode MS" w:hAnsi="Arial Unicode MS" w:eastAsia="Arial Unicode MS"/>
          <w:color w:val="1F2937"/>
          <w:sz w:val="22"/>
        </w:rPr>
        <w:t>由三家发起单位联合征集企业，泰隆银行在获得企业授权后参与金融需求识别。企业服务池按行业、发展阶段、经营规模、融资需求、出海阶段、技术需求、信息完整度等维度建档；原则上不采集与活动及服务无关的敏感信息。</w:t>
      </w:r>
    </w:p>
    <w:p>
      <w:pPr>
        <w:pStyle w:val="Heading2"/>
        <w:keepLines w:val="1"/>
      </w:pPr>
      <w:r>
        <w:rPr>
          <w:rFonts w:ascii="Arial Unicode MS" w:hAnsi="Arial Unicode MS" w:eastAsia="Arial Unicode MS"/>
          <w:b/>
          <w:color w:val="2E74B5"/>
          <w:sz w:val="26"/>
        </w:rPr>
        <w:t>2.2 三链：闭环服务通道</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500"/>
        <w:gridCol w:w="2800"/>
        <w:gridCol w:w="2500"/>
        <w:gridCol w:w="2560"/>
      </w:tblGrid>
      <w:tr>
        <w:trPr>
          <w:trHeight w:hRule="atLeast"/>
          <w:tblHeader w:val="true"/>
        </w:trPr>
        <w:tc>
          <w:tcPr>
            <w:tcW w:type="dxa" w:w="150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6"/>
              </w:rPr>
              <w:t>服务链</w:t>
            </w:r>
          </w:p>
        </w:tc>
        <w:tc>
          <w:tcPr>
            <w:tcW w:type="dxa" w:w="280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6"/>
              </w:rPr>
              <w:t>企业典型需求</w:t>
            </w:r>
          </w:p>
        </w:tc>
        <w:tc>
          <w:tcPr>
            <w:tcW w:type="dxa" w:w="250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6"/>
              </w:rPr>
              <w:t>参访输出</w:t>
            </w:r>
          </w:p>
        </w:tc>
        <w:tc>
          <w:tcPr>
            <w:tcW w:type="dxa" w:w="256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6"/>
              </w:rPr>
              <w:t>后续闭环</w:t>
            </w:r>
          </w:p>
        </w:tc>
      </w:tr>
      <w:tr>
        <w:trPr>
          <w:trHeight w:hRule="atLeast"/>
        </w:trPr>
        <w:tc>
          <w:tcPr>
            <w:tcW w:type="dxa" w:w="15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助贷与助融</w:t>
            </w:r>
          </w:p>
        </w:tc>
        <w:tc>
          <w:tcPr>
            <w:tcW w:type="dxa" w:w="28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流动资金、订单融资、设备投入、研发投入、供应链周转、股债组合认知</w:t>
            </w:r>
          </w:p>
        </w:tc>
        <w:tc>
          <w:tcPr>
            <w:tcW w:type="dxa" w:w="25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融资体检、材料清单、对接路径、风险提示</w:t>
            </w:r>
          </w:p>
        </w:tc>
        <w:tc>
          <w:tcPr>
            <w:tcW w:type="dxa" w:w="25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银行独立尽调审批；不符合信贷条件的，转介担保、政策、股权或其他合规渠道</w:t>
            </w:r>
          </w:p>
        </w:tc>
      </w:tr>
      <w:tr>
        <w:trPr>
          <w:trHeight w:hRule="atLeast"/>
        </w:trPr>
        <w:tc>
          <w:tcPr>
            <w:tcW w:type="dxa" w:w="15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出海支持</w:t>
            </w:r>
          </w:p>
        </w:tc>
        <w:tc>
          <w:tcPr>
            <w:tcW w:type="dxa" w:w="28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跨境收付、贸易融资、汇率风险、跨境电商、境外市场与合规服务</w:t>
            </w:r>
          </w:p>
        </w:tc>
        <w:tc>
          <w:tcPr>
            <w:tcW w:type="dxa" w:w="25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出海阶段诊断、金融服务清单、专业伙伴清单</w:t>
            </w:r>
          </w:p>
        </w:tc>
        <w:tc>
          <w:tcPr>
            <w:tcW w:type="dxa" w:w="25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银行国际业务团队与合规服务伙伴分工跟进，按事项反馈</w:t>
            </w:r>
          </w:p>
        </w:tc>
      </w:tr>
      <w:tr>
        <w:trPr>
          <w:trHeight w:hRule="atLeast"/>
        </w:trPr>
        <w:tc>
          <w:tcPr>
            <w:tcW w:type="dxa" w:w="15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科技链接</w:t>
            </w:r>
          </w:p>
        </w:tc>
        <w:tc>
          <w:tcPr>
            <w:tcW w:type="dxa" w:w="28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技术供需、成果转化、数智化改造、应用场景、产业链合作</w:t>
            </w:r>
          </w:p>
        </w:tc>
        <w:tc>
          <w:tcPr>
            <w:tcW w:type="dxa" w:w="25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技术需求卡、路演反馈、供需匹配建议</w:t>
            </w:r>
          </w:p>
        </w:tc>
        <w:tc>
          <w:tcPr>
            <w:tcW w:type="dxa" w:w="25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高校、企业、园区与服务机构形成项目小组，跟踪验证或商务洽谈</w:t>
            </w:r>
          </w:p>
        </w:tc>
      </w:tr>
    </w:tbl>
    <w:p>
      <w:pPr>
        <w:spacing w:after="40"/>
        <w:keepLines w:val="1"/>
      </w:pPr>
    </w:p>
    <w:p>
      <w:pPr>
        <w:pStyle w:val="Heading2"/>
        <w:keepLines w:val="1"/>
      </w:pPr>
      <w:r>
        <w:rPr>
          <w:rFonts w:ascii="Arial Unicode MS" w:hAnsi="Arial Unicode MS" w:eastAsia="Arial Unicode MS"/>
          <w:b/>
          <w:color w:val="2E74B5"/>
          <w:sz w:val="26"/>
        </w:rPr>
        <w:t>2.3 五场：8—12 月主题参访</w:t>
      </w:r>
    </w:p>
    <w:p>
      <w:pPr>
        <w:spacing w:after="120"/>
        <w:keepLines w:val="1"/>
      </w:pPr>
      <w:r>
        <w:rPr>
          <w:rFonts w:ascii="Arial Unicode MS" w:hAnsi="Arial Unicode MS" w:eastAsia="Arial Unicode MS"/>
          <w:color w:val="1F2937"/>
          <w:sz w:val="22"/>
        </w:rPr>
        <w:t>每月安排 1 场旗舰活动，每场建议 20—30 家企业、30—50 人；对高匹配需求另行安排 6—10 家企业的闭门诊断会。具体日期、地点及泰隆银行承办机构由联合工作组确认。</w:t>
      </w:r>
    </w:p>
    <w:p>
      <w:pPr>
        <w:keepLines w:val="1"/>
      </w:pPr>
      <w:r>
        <w:br w:type="page"/>
      </w:r>
    </w:p>
    <w:p>
      <w:pPr>
        <w:pStyle w:val="Heading2"/>
        <w:keepLines w:val="1"/>
      </w:pPr>
      <w:r>
        <w:rPr>
          <w:rFonts w:ascii="Arial Unicode MS" w:hAnsi="Arial Unicode MS" w:eastAsia="Arial Unicode MS"/>
          <w:b/>
          <w:color w:val="2E74B5"/>
          <w:sz w:val="26"/>
        </w:rPr>
        <w:t>2.4 七步：标准服务闭环</w:t>
      </w:r>
    </w:p>
    <w:p>
      <w:pPr>
        <w:numPr>
          <w:ilvl w:val="0"/>
          <w:numId w:val="12"/>
        </w:numPr>
        <w:spacing w:after="160" w:line="280" w:lineRule="auto"/>
        <w:keepLines w:val="1"/>
      </w:pPr>
      <w:r>
        <w:rPr>
          <w:rFonts w:ascii="Arial Unicode MS" w:hAnsi="Arial Unicode MS" w:eastAsia="Arial Unicode MS"/>
          <w:color w:val="1F2937"/>
          <w:sz w:val="22"/>
        </w:rPr>
        <w:t>主题立项：依据企业需求、银行服务重点和产业趋势确定月度主题。</w:t>
      </w:r>
    </w:p>
    <w:p>
      <w:pPr>
        <w:numPr>
          <w:ilvl w:val="0"/>
          <w:numId w:val="12"/>
        </w:numPr>
        <w:spacing w:after="160" w:line="280" w:lineRule="auto"/>
        <w:keepLines w:val="1"/>
      </w:pPr>
      <w:r>
        <w:rPr>
          <w:rFonts w:ascii="Arial Unicode MS" w:hAnsi="Arial Unicode MS" w:eastAsia="Arial Unicode MS"/>
          <w:color w:val="1F2937"/>
          <w:sz w:val="22"/>
        </w:rPr>
        <w:t>企业征集：发布邀请与报名表，说明适配对象、数据用途和活动边界。</w:t>
      </w:r>
    </w:p>
    <w:p>
      <w:pPr>
        <w:numPr>
          <w:ilvl w:val="0"/>
          <w:numId w:val="12"/>
        </w:numPr>
        <w:spacing w:after="160" w:line="280" w:lineRule="auto"/>
        <w:keepLines w:val="1"/>
      </w:pPr>
      <w:r>
        <w:rPr>
          <w:rFonts w:ascii="Arial Unicode MS" w:hAnsi="Arial Unicode MS" w:eastAsia="Arial Unicode MS"/>
          <w:color w:val="1F2937"/>
          <w:sz w:val="22"/>
        </w:rPr>
        <w:t>需求分层：形成企业画像和 A/B/C 级服务优先级，不以规模或背景作为唯一标准。</w:t>
      </w:r>
    </w:p>
    <w:p>
      <w:pPr>
        <w:numPr>
          <w:ilvl w:val="0"/>
          <w:numId w:val="12"/>
        </w:numPr>
        <w:spacing w:after="160" w:line="280" w:lineRule="auto"/>
        <w:keepLines w:val="1"/>
      </w:pPr>
      <w:r>
        <w:rPr>
          <w:rFonts w:ascii="Arial Unicode MS" w:hAnsi="Arial Unicode MS" w:eastAsia="Arial Unicode MS"/>
          <w:color w:val="1F2937"/>
          <w:sz w:val="22"/>
        </w:rPr>
        <w:t>活动匹配：安排政策、金融、出海、科技等模块，并提前落实主讲人与服务席位。</w:t>
      </w:r>
    </w:p>
    <w:p>
      <w:pPr>
        <w:numPr>
          <w:ilvl w:val="0"/>
          <w:numId w:val="12"/>
        </w:numPr>
        <w:spacing w:after="160" w:line="280" w:lineRule="auto"/>
        <w:keepLines w:val="1"/>
      </w:pPr>
      <w:r>
        <w:rPr>
          <w:rFonts w:ascii="Arial Unicode MS" w:hAnsi="Arial Unicode MS" w:eastAsia="Arial Unicode MS"/>
          <w:color w:val="1F2937"/>
          <w:sz w:val="22"/>
        </w:rPr>
        <w:t>现场诊断：通过主题分享、案例拆解、分组问诊和服务确认卡生成任务。</w:t>
      </w:r>
    </w:p>
    <w:p>
      <w:pPr>
        <w:numPr>
          <w:ilvl w:val="0"/>
          <w:numId w:val="12"/>
        </w:numPr>
        <w:spacing w:after="160" w:line="280" w:lineRule="auto"/>
        <w:keepLines w:val="1"/>
      </w:pPr>
      <w:r>
        <w:rPr>
          <w:rFonts w:ascii="Arial Unicode MS" w:hAnsi="Arial Unicode MS" w:eastAsia="Arial Unicode MS"/>
          <w:color w:val="1F2937"/>
          <w:sz w:val="22"/>
        </w:rPr>
        <w:t>限时跟进：3 个工作日建档、5 个工作日分派、10 个工作日首次反馈、30 日闭环复盘。</w:t>
      </w:r>
    </w:p>
    <w:p>
      <w:pPr>
        <w:numPr>
          <w:ilvl w:val="0"/>
          <w:numId w:val="12"/>
        </w:numPr>
        <w:spacing w:after="160" w:line="280" w:lineRule="auto"/>
        <w:keepLines w:val="1"/>
      </w:pPr>
      <w:r>
        <w:rPr>
          <w:rFonts w:ascii="Arial Unicode MS" w:hAnsi="Arial Unicode MS" w:eastAsia="Arial Unicode MS"/>
          <w:color w:val="1F2937"/>
          <w:sz w:val="22"/>
        </w:rPr>
        <w:t>成果回流：形成匿名化案例、共性需求报告和下一期选题，不公开企业敏感信息。</w:t>
      </w:r>
    </w:p>
    <w:p>
      <w:pPr>
        <w:keepLines w:val="1"/>
      </w:pPr>
      <w:r>
        <w:br w:type="page"/>
      </w:r>
    </w:p>
    <w:p>
      <w:pPr>
        <w:pStyle w:val="Heading1"/>
        <w:keepLines w:val="1"/>
      </w:pPr>
      <w:r>
        <w:rPr>
          <w:rFonts w:ascii="Arial Unicode MS" w:hAnsi="Arial Unicode MS" w:eastAsia="Arial Unicode MS"/>
          <w:b/>
          <w:color w:val="2E74B5"/>
          <w:sz w:val="32"/>
        </w:rPr>
        <w:t>三、2026 年 8—12 月参访计划表</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050"/>
        <w:gridCol w:w="1200"/>
        <w:gridCol w:w="1700"/>
        <w:gridCol w:w="2100"/>
        <w:gridCol w:w="1700"/>
        <w:gridCol w:w="1610"/>
      </w:tblGrid>
      <w:tr>
        <w:trPr>
          <w:trHeight w:hRule="atLeast"/>
          <w:tblHeader w:val="true"/>
        </w:trPr>
        <w:tc>
          <w:tcPr>
            <w:tcW w:type="dxa" w:w="105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5"/>
              </w:rPr>
              <w:t>月份 / 主题</w:t>
            </w:r>
          </w:p>
        </w:tc>
        <w:tc>
          <w:tcPr>
            <w:tcW w:type="dxa" w:w="120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5"/>
              </w:rPr>
              <w:t>建议场景</w:t>
            </w:r>
          </w:p>
        </w:tc>
        <w:tc>
          <w:tcPr>
            <w:tcW w:type="dxa" w:w="170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5"/>
              </w:rPr>
              <w:t>重点企业</w:t>
            </w:r>
          </w:p>
        </w:tc>
        <w:tc>
          <w:tcPr>
            <w:tcW w:type="dxa" w:w="210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5"/>
              </w:rPr>
              <w:t>核心内容</w:t>
            </w:r>
          </w:p>
        </w:tc>
        <w:tc>
          <w:tcPr>
            <w:tcW w:type="dxa" w:w="170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5"/>
              </w:rPr>
              <w:t>主要输出</w:t>
            </w:r>
          </w:p>
        </w:tc>
        <w:tc>
          <w:tcPr>
            <w:tcW w:type="dxa" w:w="161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5"/>
              </w:rPr>
              <w:t>闭环重点</w:t>
            </w:r>
          </w:p>
        </w:tc>
      </w:tr>
      <w:tr>
        <w:trPr>
          <w:trHeight w:hRule="atLeast"/>
        </w:trPr>
        <w:tc>
          <w:tcPr>
            <w:tcW w:type="dxa" w:w="105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8 月｜启动与小微金融体检</w:t>
            </w:r>
          </w:p>
        </w:tc>
        <w:tc>
          <w:tcPr>
            <w:tcW w:type="dxa" w:w="12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泰隆银行指定会场；银行开放日</w:t>
            </w:r>
          </w:p>
        </w:tc>
        <w:tc>
          <w:tcPr>
            <w:tcW w:type="dxa" w:w="17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成立 1—5 年、处于订单增长或研发投入期的小微及中小科技企业</w:t>
            </w:r>
          </w:p>
        </w:tc>
        <w:tc>
          <w:tcPr>
            <w:tcW w:type="dxa" w:w="21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合作发布；小微融资逻辑；企业财务与经营信息准备；1 对 1 初诊</w:t>
            </w:r>
          </w:p>
        </w:tc>
        <w:tc>
          <w:tcPr>
            <w:tcW w:type="dxa" w:w="17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首批企业档案；融资需求卡；年度需求基线</w:t>
            </w:r>
          </w:p>
        </w:tc>
        <w:tc>
          <w:tcPr>
            <w:tcW w:type="dxa" w:w="161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筛选 A 类融资线索；5 日内分派客户经理</w:t>
            </w:r>
          </w:p>
        </w:tc>
      </w:tr>
      <w:tr>
        <w:trPr>
          <w:trHeight w:hRule="atLeast"/>
        </w:trPr>
        <w:tc>
          <w:tcPr>
            <w:tcW w:type="dxa" w:w="105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9 月｜出海与跨境经营</w:t>
            </w:r>
          </w:p>
        </w:tc>
        <w:tc>
          <w:tcPr>
            <w:tcW w:type="dxa" w:w="12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银行国际业务场景 + 出海服务机构</w:t>
            </w:r>
          </w:p>
        </w:tc>
        <w:tc>
          <w:tcPr>
            <w:tcW w:type="dxa" w:w="17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外贸、跨境电商、准备进入东南亚/欧洲等市场的企业</w:t>
            </w:r>
          </w:p>
        </w:tc>
        <w:tc>
          <w:tcPr>
            <w:tcW w:type="dxa" w:w="21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跨境收付、贸易融资、汇率风险、目的地合规与市场进入</w:t>
            </w:r>
          </w:p>
        </w:tc>
        <w:tc>
          <w:tcPr>
            <w:tcW w:type="dxa" w:w="17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出海成熟度诊断；金融及专业服务清单</w:t>
            </w:r>
          </w:p>
        </w:tc>
        <w:tc>
          <w:tcPr>
            <w:tcW w:type="dxa" w:w="161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形成跨境服务专组；10 日内完成首次方案反馈</w:t>
            </w:r>
          </w:p>
        </w:tc>
      </w:tr>
      <w:tr>
        <w:trPr>
          <w:trHeight w:hRule="atLeast"/>
        </w:trPr>
        <w:tc>
          <w:tcPr>
            <w:tcW w:type="dxa" w:w="105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10 月｜科技金融与成果转化</w:t>
            </w:r>
          </w:p>
        </w:tc>
        <w:tc>
          <w:tcPr>
            <w:tcW w:type="dxa" w:w="12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高校 / 实验室 / 科技园区 / 银行</w:t>
            </w:r>
          </w:p>
        </w:tc>
        <w:tc>
          <w:tcPr>
            <w:tcW w:type="dxa" w:w="17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专精特新、高新技术、具身智能、AI 应用与数字化服务企业</w:t>
            </w:r>
          </w:p>
        </w:tc>
        <w:tc>
          <w:tcPr>
            <w:tcW w:type="dxa" w:w="21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科技企业融资特征；技术需求发布；高校成果路演；应用场景对接</w:t>
            </w:r>
          </w:p>
        </w:tc>
        <w:tc>
          <w:tcPr>
            <w:tcW w:type="dxa" w:w="17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技术需求卡；成果对接名单；科技金融储备项目</w:t>
            </w:r>
          </w:p>
        </w:tc>
        <w:tc>
          <w:tcPr>
            <w:tcW w:type="dxa" w:w="161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银行与科技伙伴双轨跟进；建立项目小组</w:t>
            </w:r>
          </w:p>
        </w:tc>
      </w:tr>
      <w:tr>
        <w:trPr>
          <w:trHeight w:hRule="atLeast"/>
        </w:trPr>
        <w:tc>
          <w:tcPr>
            <w:tcW w:type="dxa" w:w="105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11 月｜产业链协同与融资路演</w:t>
            </w:r>
          </w:p>
        </w:tc>
        <w:tc>
          <w:tcPr>
            <w:tcW w:type="dxa" w:w="12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链主企业或标杆科技企业现场</w:t>
            </w:r>
          </w:p>
        </w:tc>
        <w:tc>
          <w:tcPr>
            <w:tcW w:type="dxa" w:w="17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上下游供应商、生产性服务业、产业链配套企业</w:t>
            </w:r>
          </w:p>
        </w:tc>
        <w:tc>
          <w:tcPr>
            <w:tcW w:type="dxa" w:w="21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订单与供应链场景；企业路演；采购与技术供需；AI 生产力场景问诊</w:t>
            </w:r>
          </w:p>
        </w:tc>
        <w:tc>
          <w:tcPr>
            <w:tcW w:type="dxa" w:w="17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供需对接清单；融资路演反馈；合作意向</w:t>
            </w:r>
          </w:p>
        </w:tc>
        <w:tc>
          <w:tcPr>
            <w:tcW w:type="dxa" w:w="161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按产业链建立项目簇；对成熟需求安排闭门会</w:t>
            </w:r>
          </w:p>
        </w:tc>
      </w:tr>
      <w:tr>
        <w:trPr>
          <w:trHeight w:hRule="atLeast"/>
        </w:trPr>
        <w:tc>
          <w:tcPr>
            <w:tcW w:type="dxa" w:w="105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12 月｜成果复盘与生态共建</w:t>
            </w:r>
          </w:p>
        </w:tc>
        <w:tc>
          <w:tcPr>
            <w:tcW w:type="dxa" w:w="12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泰隆银行指定会场；年度交流会</w:t>
            </w:r>
          </w:p>
        </w:tc>
        <w:tc>
          <w:tcPr>
            <w:tcW w:type="dxa" w:w="17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前四期重点企业、新增优质企业、生态伙伴</w:t>
            </w:r>
          </w:p>
        </w:tc>
        <w:tc>
          <w:tcPr>
            <w:tcW w:type="dxa" w:w="21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年度成果发布；典型案例；政策与趋势展望；次年共创选题</w:t>
            </w:r>
          </w:p>
        </w:tc>
        <w:tc>
          <w:tcPr>
            <w:tcW w:type="dxa" w:w="17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年度报告；案例集；下一周期候选企业与主题</w:t>
            </w:r>
          </w:p>
        </w:tc>
        <w:tc>
          <w:tcPr>
            <w:tcW w:type="dxa" w:w="161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未结事项清单；90 日延续跟进；次年机制确认</w:t>
            </w:r>
          </w:p>
        </w:tc>
      </w:tr>
    </w:tbl>
    <w:p>
      <w:pPr>
        <w:spacing w:after="40"/>
        <w:keepLines w:val="1"/>
      </w:pPr>
    </w:p>
    <w:p>
      <w:pPr>
        <w:pStyle w:val="Heading2"/>
        <w:keepLines w:val="1"/>
      </w:pPr>
      <w:r>
        <w:rPr>
          <w:rFonts w:ascii="Arial Unicode MS" w:hAnsi="Arial Unicode MS" w:eastAsia="Arial Unicode MS"/>
          <w:b/>
          <w:color w:val="2E74B5"/>
          <w:sz w:val="26"/>
        </w:rPr>
        <w:t>3.1 单场活动建议流程（150 分钟）</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100"/>
        <w:gridCol w:w="1500"/>
        <w:gridCol w:w="3100"/>
        <w:gridCol w:w="1800"/>
        <w:gridCol w:w="1860"/>
      </w:tblGrid>
      <w:tr>
        <w:trPr>
          <w:trHeight w:hRule="atLeast"/>
          <w:tblHeader w:val="true"/>
        </w:trPr>
        <w:tc>
          <w:tcPr>
            <w:tcW w:type="dxa" w:w="110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6"/>
              </w:rPr>
              <w:t>时间</w:t>
            </w:r>
          </w:p>
        </w:tc>
        <w:tc>
          <w:tcPr>
            <w:tcW w:type="dxa" w:w="150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6"/>
              </w:rPr>
              <w:t>环节</w:t>
            </w:r>
          </w:p>
        </w:tc>
        <w:tc>
          <w:tcPr>
            <w:tcW w:type="dxa" w:w="310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6"/>
              </w:rPr>
              <w:t>内容</w:t>
            </w:r>
          </w:p>
        </w:tc>
        <w:tc>
          <w:tcPr>
            <w:tcW w:type="dxa" w:w="180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6"/>
              </w:rPr>
              <w:t>责任方</w:t>
            </w:r>
          </w:p>
        </w:tc>
        <w:tc>
          <w:tcPr>
            <w:tcW w:type="dxa" w:w="186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6"/>
              </w:rPr>
              <w:t>现场产出</w:t>
            </w:r>
          </w:p>
        </w:tc>
      </w:tr>
      <w:tr>
        <w:trPr>
          <w:trHeight w:hRule="atLeast"/>
        </w:trPr>
        <w:tc>
          <w:tcPr>
            <w:tcW w:type="dxa" w:w="11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00—10 分钟</w:t>
            </w:r>
          </w:p>
        </w:tc>
        <w:tc>
          <w:tcPr>
            <w:tcW w:type="dxa" w:w="15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签到与需求确认</w:t>
            </w:r>
          </w:p>
        </w:tc>
        <w:tc>
          <w:tcPr>
            <w:tcW w:type="dxa" w:w="31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核验企业信息；领取分组标识；确认三类需求</w:t>
            </w:r>
          </w:p>
        </w:tc>
        <w:tc>
          <w:tcPr>
            <w:tcW w:type="dxa" w:w="18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联合会执行组</w:t>
            </w:r>
          </w:p>
        </w:tc>
        <w:tc>
          <w:tcPr>
            <w:tcW w:type="dxa" w:w="18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有效到场名单</w:t>
            </w:r>
          </w:p>
        </w:tc>
      </w:tr>
      <w:tr>
        <w:trPr>
          <w:trHeight w:hRule="atLeast"/>
        </w:trPr>
        <w:tc>
          <w:tcPr>
            <w:tcW w:type="dxa" w:w="11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10—25 分钟</w:t>
            </w:r>
          </w:p>
        </w:tc>
        <w:tc>
          <w:tcPr>
            <w:tcW w:type="dxa" w:w="15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开场与机制说明</w:t>
            </w:r>
          </w:p>
        </w:tc>
        <w:tc>
          <w:tcPr>
            <w:tcW w:type="dxa" w:w="31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项目目标、三链服务、数据与合规边界</w:t>
            </w:r>
          </w:p>
        </w:tc>
        <w:tc>
          <w:tcPr>
            <w:tcW w:type="dxa" w:w="18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联合工作组</w:t>
            </w:r>
          </w:p>
        </w:tc>
        <w:tc>
          <w:tcPr>
            <w:tcW w:type="dxa" w:w="18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统一预期</w:t>
            </w:r>
          </w:p>
        </w:tc>
      </w:tr>
      <w:tr>
        <w:trPr>
          <w:trHeight w:hRule="atLeast"/>
        </w:trPr>
        <w:tc>
          <w:tcPr>
            <w:tcW w:type="dxa" w:w="11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25—50 分钟</w:t>
            </w:r>
          </w:p>
        </w:tc>
        <w:tc>
          <w:tcPr>
            <w:tcW w:type="dxa" w:w="15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主题分享</w:t>
            </w:r>
          </w:p>
        </w:tc>
        <w:tc>
          <w:tcPr>
            <w:tcW w:type="dxa" w:w="31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银行 / 专家围绕当月主题给出可操作框架</w:t>
            </w:r>
          </w:p>
        </w:tc>
        <w:tc>
          <w:tcPr>
            <w:tcW w:type="dxa" w:w="18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泰隆银行 / 专家</w:t>
            </w:r>
          </w:p>
        </w:tc>
        <w:tc>
          <w:tcPr>
            <w:tcW w:type="dxa" w:w="18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知识要点</w:t>
            </w:r>
          </w:p>
        </w:tc>
      </w:tr>
      <w:tr>
        <w:trPr>
          <w:trHeight w:hRule="atLeast"/>
        </w:trPr>
        <w:tc>
          <w:tcPr>
            <w:tcW w:type="dxa" w:w="11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50—75 分钟</w:t>
            </w:r>
          </w:p>
        </w:tc>
        <w:tc>
          <w:tcPr>
            <w:tcW w:type="dxa" w:w="15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案例与企业路演</w:t>
            </w:r>
          </w:p>
        </w:tc>
        <w:tc>
          <w:tcPr>
            <w:tcW w:type="dxa" w:w="31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2—4 个案例或企业，每家 5—8 分钟</w:t>
            </w:r>
          </w:p>
        </w:tc>
        <w:tc>
          <w:tcPr>
            <w:tcW w:type="dxa" w:w="18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企业 / 生态伙伴</w:t>
            </w:r>
          </w:p>
        </w:tc>
        <w:tc>
          <w:tcPr>
            <w:tcW w:type="dxa" w:w="18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需求与能力展示</w:t>
            </w:r>
          </w:p>
        </w:tc>
      </w:tr>
      <w:tr>
        <w:trPr>
          <w:trHeight w:hRule="atLeast"/>
        </w:trPr>
        <w:tc>
          <w:tcPr>
            <w:tcW w:type="dxa" w:w="11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75—115 分钟</w:t>
            </w:r>
          </w:p>
        </w:tc>
        <w:tc>
          <w:tcPr>
            <w:tcW w:type="dxa" w:w="15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分组问诊</w:t>
            </w:r>
          </w:p>
        </w:tc>
        <w:tc>
          <w:tcPr>
            <w:tcW w:type="dxa" w:w="31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融资、出海、科技三组并行；每企完成一张服务卡</w:t>
            </w:r>
          </w:p>
        </w:tc>
        <w:tc>
          <w:tcPr>
            <w:tcW w:type="dxa" w:w="18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各通道负责人</w:t>
            </w:r>
          </w:p>
        </w:tc>
        <w:tc>
          <w:tcPr>
            <w:tcW w:type="dxa" w:w="18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服务确认卡</w:t>
            </w:r>
          </w:p>
        </w:tc>
      </w:tr>
      <w:tr>
        <w:trPr>
          <w:trHeight w:hRule="atLeast"/>
        </w:trPr>
        <w:tc>
          <w:tcPr>
            <w:tcW w:type="dxa" w:w="11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115—135 分钟</w:t>
            </w:r>
          </w:p>
        </w:tc>
        <w:tc>
          <w:tcPr>
            <w:tcW w:type="dxa" w:w="15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现场参观 / 资源交流</w:t>
            </w:r>
          </w:p>
        </w:tc>
        <w:tc>
          <w:tcPr>
            <w:tcW w:type="dxa" w:w="31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银行场景、企业产线、实验室或园区参观</w:t>
            </w:r>
          </w:p>
        </w:tc>
        <w:tc>
          <w:tcPr>
            <w:tcW w:type="dxa" w:w="18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承办方</w:t>
            </w:r>
          </w:p>
        </w:tc>
        <w:tc>
          <w:tcPr>
            <w:tcW w:type="dxa" w:w="18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进一步线索</w:t>
            </w:r>
          </w:p>
        </w:tc>
      </w:tr>
      <w:tr>
        <w:trPr>
          <w:trHeight w:hRule="atLeast"/>
        </w:trPr>
        <w:tc>
          <w:tcPr>
            <w:tcW w:type="dxa" w:w="11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135—150 分钟</w:t>
            </w:r>
          </w:p>
        </w:tc>
        <w:tc>
          <w:tcPr>
            <w:tcW w:type="dxa" w:w="15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总结与下一步</w:t>
            </w:r>
          </w:p>
        </w:tc>
        <w:tc>
          <w:tcPr>
            <w:tcW w:type="dxa" w:w="31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确认责任人、首次反馈时限、满意度回收</w:t>
            </w:r>
          </w:p>
        </w:tc>
        <w:tc>
          <w:tcPr>
            <w:tcW w:type="dxa" w:w="18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项目经理</w:t>
            </w:r>
          </w:p>
        </w:tc>
        <w:tc>
          <w:tcPr>
            <w:tcW w:type="dxa" w:w="18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任务分派依据</w:t>
            </w:r>
          </w:p>
        </w:tc>
      </w:tr>
    </w:tbl>
    <w:p>
      <w:pPr>
        <w:spacing w:after="40"/>
        <w:keepLines w:val="1"/>
      </w:pPr>
    </w:p>
    <w:p>
      <w:pPr>
        <w:pStyle w:val="Heading2"/>
        <w:keepLines w:val="1"/>
      </w:pPr>
      <w:r>
        <w:rPr>
          <w:rFonts w:ascii="Arial Unicode MS" w:hAnsi="Arial Unicode MS" w:eastAsia="Arial Unicode MS"/>
          <w:b/>
          <w:color w:val="2E74B5"/>
          <w:sz w:val="26"/>
        </w:rPr>
        <w:t>3.2 可选专题线：具身智能 × 跨境金融生态（参考）</w:t>
      </w:r>
    </w:p>
    <w:p>
      <w:pPr>
        <w:spacing w:after="120"/>
        <w:keepLines w:val="1"/>
      </w:pPr>
      <w:r>
        <w:rPr>
          <w:rFonts w:ascii="Arial Unicode MS" w:hAnsi="Arial Unicode MS" w:eastAsia="Arial Unicode MS"/>
          <w:color w:val="1F2937"/>
          <w:sz w:val="22"/>
        </w:rPr>
        <w:t>根据补充会议材料，可在不改变五个月主计划的前提下，将以下事项作为候选专题或调研任务，择机嵌入 9—11 月活动。是否启动、参与主体及对外口径，须以联合工作组确认以及银行内部业务、合规和资源审批为准。</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550"/>
        <w:gridCol w:w="1050"/>
        <w:gridCol w:w="2500"/>
        <w:gridCol w:w="2450"/>
        <w:gridCol w:w="1810"/>
      </w:tblGrid>
      <w:tr>
        <w:trPr>
          <w:trHeight w:hRule="atLeast"/>
          <w:tblHeader w:val="true"/>
        </w:trPr>
        <w:tc>
          <w:tcPr>
            <w:tcW w:type="dxa" w:w="155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5"/>
              </w:rPr>
              <w:t>候选事项</w:t>
            </w:r>
          </w:p>
        </w:tc>
        <w:tc>
          <w:tcPr>
            <w:tcW w:type="dxa" w:w="105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5"/>
              </w:rPr>
              <w:t>适配月份</w:t>
            </w:r>
          </w:p>
        </w:tc>
        <w:tc>
          <w:tcPr>
            <w:tcW w:type="dxa" w:w="250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5"/>
              </w:rPr>
              <w:t>参访 / 调研对象</w:t>
            </w:r>
          </w:p>
        </w:tc>
        <w:tc>
          <w:tcPr>
            <w:tcW w:type="dxa" w:w="245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5"/>
              </w:rPr>
              <w:t>预期产出</w:t>
            </w:r>
          </w:p>
        </w:tc>
        <w:tc>
          <w:tcPr>
            <w:tcW w:type="dxa" w:w="181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5"/>
              </w:rPr>
              <w:t>启动条件</w:t>
            </w:r>
          </w:p>
        </w:tc>
      </w:tr>
      <w:tr>
        <w:trPr>
          <w:trHeight w:hRule="atLeast"/>
        </w:trPr>
        <w:tc>
          <w:tcPr>
            <w:tcW w:type="dxa" w:w="155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具身智能企业深度参访</w:t>
            </w:r>
          </w:p>
        </w:tc>
        <w:tc>
          <w:tcPr>
            <w:tcW w:type="dxa" w:w="105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10 月或 11 月</w:t>
            </w:r>
          </w:p>
        </w:tc>
        <w:tc>
          <w:tcPr>
            <w:tcW w:type="dxa" w:w="25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细分领域高成长企业、产业链企业、园区或实验室</w:t>
            </w:r>
          </w:p>
        </w:tc>
        <w:tc>
          <w:tcPr>
            <w:tcW w:type="dxa" w:w="245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技术与场景需求卡、金融服务初诊、产业链对接</w:t>
            </w:r>
          </w:p>
        </w:tc>
        <w:tc>
          <w:tcPr>
            <w:tcW w:type="dxa" w:w="181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企业同意；安全、保密与摄影边界确认</w:t>
            </w:r>
          </w:p>
        </w:tc>
      </w:tr>
      <w:tr>
        <w:trPr>
          <w:trHeight w:hRule="atLeast"/>
        </w:trPr>
        <w:tc>
          <w:tcPr>
            <w:tcW w:type="dxa" w:w="155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AI 大厂 / 云平台参访</w:t>
            </w:r>
          </w:p>
        </w:tc>
        <w:tc>
          <w:tcPr>
            <w:tcW w:type="dxa" w:w="105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10 月或 11 月</w:t>
            </w:r>
          </w:p>
        </w:tc>
        <w:tc>
          <w:tcPr>
            <w:tcW w:type="dxa" w:w="25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AI 平台、云与算力服务商</w:t>
            </w:r>
          </w:p>
        </w:tc>
        <w:tc>
          <w:tcPr>
            <w:tcW w:type="dxa" w:w="245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AI 生产力需求清单、算力采购场景研究问题</w:t>
            </w:r>
          </w:p>
        </w:tc>
        <w:tc>
          <w:tcPr>
            <w:tcW w:type="dxa" w:w="181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合作方确认；不预设联名卡或贷款结论</w:t>
            </w:r>
          </w:p>
        </w:tc>
      </w:tr>
      <w:tr>
        <w:trPr>
          <w:trHeight w:hRule="atLeast"/>
        </w:trPr>
        <w:tc>
          <w:tcPr>
            <w:tcW w:type="dxa" w:w="155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东南亚出海资源专场</w:t>
            </w:r>
          </w:p>
        </w:tc>
        <w:tc>
          <w:tcPr>
            <w:tcW w:type="dxa" w:w="105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9 月</w:t>
            </w:r>
          </w:p>
        </w:tc>
        <w:tc>
          <w:tcPr>
            <w:tcW w:type="dxa" w:w="25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目标国服务机构、园区 / 商协会及专业服务伙伴</w:t>
            </w:r>
          </w:p>
        </w:tc>
        <w:tc>
          <w:tcPr>
            <w:tcW w:type="dxa" w:w="245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出海阶段诊断、跨境服务清单、目的地资源图</w:t>
            </w:r>
          </w:p>
        </w:tc>
        <w:tc>
          <w:tcPr>
            <w:tcW w:type="dxa" w:w="181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确认可公开的服务范围和合作分工</w:t>
            </w:r>
          </w:p>
        </w:tc>
      </w:tr>
      <w:tr>
        <w:trPr>
          <w:trHeight w:hRule="atLeast"/>
        </w:trPr>
        <w:tc>
          <w:tcPr>
            <w:tcW w:type="dxa" w:w="155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跨境枢纽 / 园区调研</w:t>
            </w:r>
          </w:p>
        </w:tc>
        <w:tc>
          <w:tcPr>
            <w:tcW w:type="dxa" w:w="105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9 月或 11 月</w:t>
            </w:r>
          </w:p>
        </w:tc>
        <w:tc>
          <w:tcPr>
            <w:tcW w:type="dxa" w:w="25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自贸区、跨境服务枢纽或园区</w:t>
            </w:r>
          </w:p>
        </w:tc>
        <w:tc>
          <w:tcPr>
            <w:tcW w:type="dxa" w:w="245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服务窗口与合作场景可行性清单</w:t>
            </w:r>
          </w:p>
        </w:tc>
        <w:tc>
          <w:tcPr>
            <w:tcW w:type="dxa" w:w="181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政策、场地与合作审批确认</w:t>
            </w:r>
          </w:p>
        </w:tc>
      </w:tr>
      <w:tr>
        <w:trPr>
          <w:trHeight w:hRule="atLeast"/>
        </w:trPr>
        <w:tc>
          <w:tcPr>
            <w:tcW w:type="dxa" w:w="155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客户需求摸排</w:t>
            </w:r>
          </w:p>
        </w:tc>
        <w:tc>
          <w:tcPr>
            <w:tcW w:type="dxa" w:w="105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全周期</w:t>
            </w:r>
          </w:p>
        </w:tc>
        <w:tc>
          <w:tcPr>
            <w:tcW w:type="dxa" w:w="25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银行存量客户与联合会会员企业</w:t>
            </w:r>
          </w:p>
        </w:tc>
        <w:tc>
          <w:tcPr>
            <w:tcW w:type="dxa" w:w="245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AI 应用 / 出海意向分层及候选企业池</w:t>
            </w:r>
          </w:p>
        </w:tc>
        <w:tc>
          <w:tcPr>
            <w:tcW w:type="dxa" w:w="181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5"/>
              </w:rPr>
              <w:t>企业授权；遵循信息最小必要原则</w:t>
            </w:r>
          </w:p>
        </w:tc>
      </w:tr>
    </w:tbl>
    <w:p>
      <w:pPr>
        <w:spacing w:after="40"/>
        <w:keepLines w:val="1"/>
      </w:pPr>
    </w:p>
    <w:tbl>
      <w:tblPr>
        <w:tblW w:type="dxa" w:w="9360"/>
        <w:jc w:val="left"/>
        <w:tblLayout w:type="fixed"/>
        <w:tblLook w:firstColumn="1" w:firstRow="1" w:lastColumn="0" w:lastRow="0" w:noHBand="0" w:noVBand="1" w:val="04A0"/>
        <w:tblInd w:w="120" w:type="dxa"/>
        <w:tblBorders>
          <w:top w:val="single" w:sz="2" w:space="0" w:color="FFF4D6"/>
          <w:left w:val="single" w:sz="2" w:space="0" w:color="FFF4D6"/>
          <w:bottom w:val="single" w:sz="2" w:space="0" w:color="FFF4D6"/>
          <w:right w:val="single" w:sz="2" w:space="0" w:color="FFF4D6"/>
          <w:insideH w:val="single" w:sz="2" w:space="0" w:color="FFF4D6"/>
          <w:insideV w:val="single" w:sz="2" w:space="0" w:color="FFF4D6"/>
        </w:tblBorders>
      </w:tblPr>
      <w:tblGrid>
        <w:gridCol w:w="9360"/>
      </w:tblGrid>
      <w:tr>
        <w:trPr>
          <w:trHeight w:hRule="atLeast"/>
          <w:tblHeader w:val="true"/>
        </w:trPr>
        <w:tc>
          <w:tcPr>
            <w:tcW w:type="dxa" w:w="9360"/>
            <w:tcMar>
              <w:top w:w="80" w:type="dxa"/>
              <w:start w:w="120" w:type="dxa"/>
              <w:bottom w:w="80" w:type="dxa"/>
              <w:end w:w="120" w:type="dxa"/>
            </w:tcMar>
            <w:vAlign w:val="center"/>
            <w:shd w:fill="FFF4D6" w:val="clear"/>
          </w:tcPr>
          <w:p>
            <w:pPr>
              <w:spacing w:after="0"/>
              <w:keepLines w:val="1"/>
            </w:pPr>
            <w:r>
              <w:rPr>
                <w:rFonts w:ascii="Arial Unicode MS" w:hAnsi="Arial Unicode MS" w:eastAsia="Arial Unicode MS"/>
                <w:b/>
                <w:color w:val="1F4D78"/>
                <w:sz w:val="22"/>
              </w:rPr>
              <w:t xml:space="preserve">创新产品边界  </w:t>
            </w:r>
            <w:r>
              <w:rPr>
                <w:rFonts w:ascii="Arial Unicode MS" w:hAnsi="Arial Unicode MS" w:eastAsia="Arial Unicode MS"/>
                <w:color w:val="1F2937"/>
                <w:sz w:val="22"/>
              </w:rPr>
              <w:t>AI Token / 算力采购、跨境贷款等构想仅进入需求调研与可行性研究，不作为本方案既定产品或授信承诺。后续如进入产品设计，应分别完成法律、合规、风险、数据授权和内部审批。</w:t>
            </w:r>
          </w:p>
        </w:tc>
      </w:tr>
    </w:tbl>
    <w:p>
      <w:pPr>
        <w:spacing w:after="40"/>
        <w:keepLines w:val="1"/>
      </w:pPr>
    </w:p>
    <w:p>
      <w:pPr>
        <w:pStyle w:val="Heading1"/>
        <w:keepLines w:val="1"/>
      </w:pPr>
      <w:r>
        <w:rPr>
          <w:rFonts w:ascii="Arial Unicode MS" w:hAnsi="Arial Unicode MS" w:eastAsia="Arial Unicode MS"/>
          <w:b/>
          <w:color w:val="2E74B5"/>
          <w:sz w:val="32"/>
        </w:rPr>
        <w:t>四、标准作业程序（SOP）</w:t>
      </w:r>
    </w:p>
    <w:tbl>
      <w:tblPr>
        <w:tblW w:type="dxa" w:w="9360"/>
        <w:jc w:val="left"/>
        <w:tblLayout w:type="fixed"/>
        <w:tblLook w:firstColumn="1" w:firstRow="1" w:lastColumn="0" w:lastRow="0" w:noHBand="0" w:noVBand="1" w:val="04A0"/>
        <w:tblInd w:w="120" w:type="dxa"/>
        <w:tblBorders>
          <w:top w:val="single" w:sz="2" w:space="0" w:color="E8EEF5"/>
          <w:left w:val="single" w:sz="2" w:space="0" w:color="E8EEF5"/>
          <w:bottom w:val="single" w:sz="2" w:space="0" w:color="E8EEF5"/>
          <w:right w:val="single" w:sz="2" w:space="0" w:color="E8EEF5"/>
          <w:insideH w:val="single" w:sz="2" w:space="0" w:color="E8EEF5"/>
          <w:insideV w:val="single" w:sz="2" w:space="0" w:color="E8EEF5"/>
        </w:tblBorders>
      </w:tblPr>
      <w:tblGrid>
        <w:gridCol w:w="9360"/>
      </w:tblGrid>
      <w:tr>
        <w:trPr>
          <w:trHeight w:hRule="atLeast"/>
          <w:tblHeader w:val="true"/>
        </w:trPr>
        <w:tc>
          <w:tcPr>
            <w:tcW w:type="dxa" w:w="9360"/>
            <w:tcMar>
              <w:top w:w="80" w:type="dxa"/>
              <w:start w:w="120" w:type="dxa"/>
              <w:bottom w:w="80" w:type="dxa"/>
              <w:end w:w="120" w:type="dxa"/>
            </w:tcMar>
            <w:vAlign w:val="center"/>
            <w:shd w:fill="E8EEF5" w:val="clear"/>
          </w:tcPr>
          <w:p>
            <w:pPr>
              <w:spacing w:after="0"/>
              <w:keepLines w:val="1"/>
            </w:pPr>
            <w:r>
              <w:rPr>
                <w:rFonts w:ascii="Arial Unicode MS" w:hAnsi="Arial Unicode MS" w:eastAsia="Arial Unicode MS"/>
                <w:b/>
                <w:color w:val="1F4D78"/>
                <w:sz w:val="22"/>
              </w:rPr>
              <w:t xml:space="preserve">时间口径  </w:t>
            </w:r>
            <w:r>
              <w:rPr>
                <w:rFonts w:ascii="Arial Unicode MS" w:hAnsi="Arial Unicode MS" w:eastAsia="Arial Unicode MS"/>
                <w:color w:val="1F2937"/>
                <w:sz w:val="22"/>
              </w:rPr>
              <w:t>T 为活动日；所有时限均按工作日计算。遇监管、授信、跨境合规或企业资料补充事项，按实际流程调整并及时向企业说明。</w:t>
            </w:r>
          </w:p>
        </w:tc>
      </w:tr>
    </w:tbl>
    <w:p>
      <w:pPr>
        <w:spacing w:after="40"/>
        <w:keepLines w:val="1"/>
      </w:pPr>
    </w:p>
    <w:p>
      <w:pPr>
        <w:pStyle w:val="Heading2"/>
        <w:keepLines w:val="1"/>
      </w:pPr>
      <w:r>
        <w:rPr>
          <w:rFonts w:ascii="Arial Unicode MS" w:hAnsi="Arial Unicode MS" w:eastAsia="Arial Unicode MS"/>
          <w:b/>
          <w:color w:val="2E74B5"/>
          <w:sz w:val="26"/>
        </w:rPr>
        <w:t>4.1 阶段一：立项与策划（T-30 至 T-21）</w:t>
      </w:r>
    </w:p>
    <w:p>
      <w:pPr>
        <w:numPr>
          <w:ilvl w:val="0"/>
          <w:numId w:val="13"/>
        </w:numPr>
        <w:spacing w:after="160" w:line="280" w:lineRule="auto"/>
        <w:keepLines w:val="1"/>
      </w:pPr>
      <w:r>
        <w:rPr>
          <w:rFonts w:ascii="Arial Unicode MS" w:hAnsi="Arial Unicode MS" w:eastAsia="Arial Unicode MS"/>
          <w:color w:val="1F2937"/>
          <w:sz w:val="22"/>
        </w:rPr>
        <w:t>联合工作组确认主题、目标企业、承办地点、预算上限、活动负责人和三条服务通道负责人。</w:t>
      </w:r>
    </w:p>
    <w:p>
      <w:pPr>
        <w:numPr>
          <w:ilvl w:val="0"/>
          <w:numId w:val="13"/>
        </w:numPr>
        <w:spacing w:after="160" w:line="280" w:lineRule="auto"/>
        <w:keepLines w:val="1"/>
      </w:pPr>
      <w:r>
        <w:rPr>
          <w:rFonts w:ascii="Arial Unicode MS" w:hAnsi="Arial Unicode MS" w:eastAsia="Arial Unicode MS"/>
          <w:color w:val="1F2937"/>
          <w:sz w:val="22"/>
        </w:rPr>
        <w:t>泰隆银行确认可对外介绍的业务范围、主讲人、客户经理与合规审阅窗口。</w:t>
      </w:r>
    </w:p>
    <w:p>
      <w:pPr>
        <w:numPr>
          <w:ilvl w:val="0"/>
          <w:numId w:val="13"/>
        </w:numPr>
        <w:spacing w:after="160" w:line="280" w:lineRule="auto"/>
        <w:keepLines w:val="1"/>
      </w:pPr>
      <w:r>
        <w:rPr>
          <w:rFonts w:ascii="Arial Unicode MS" w:hAnsi="Arial Unicode MS" w:eastAsia="Arial Unicode MS"/>
          <w:color w:val="1F2937"/>
          <w:sz w:val="22"/>
        </w:rPr>
        <w:t>形成一页活动任务书：目标、对象、规模、议程、交付物、KPI、风险点、信息采集范围。</w:t>
      </w:r>
    </w:p>
    <w:p>
      <w:pPr>
        <w:numPr>
          <w:ilvl w:val="0"/>
          <w:numId w:val="13"/>
        </w:numPr>
        <w:spacing w:after="160" w:line="280" w:lineRule="auto"/>
        <w:keepLines w:val="1"/>
      </w:pPr>
      <w:r>
        <w:rPr>
          <w:rFonts w:ascii="Arial Unicode MS" w:hAnsi="Arial Unicode MS" w:eastAsia="Arial Unicode MS"/>
          <w:color w:val="1F2937"/>
          <w:sz w:val="22"/>
        </w:rPr>
        <w:t>如涉及企业现场参访，完成安全、保密、知识产权、摄影与参观路线确认。</w:t>
      </w:r>
    </w:p>
    <w:p>
      <w:pPr>
        <w:pStyle w:val="Heading2"/>
        <w:keepLines w:val="1"/>
      </w:pPr>
      <w:r>
        <w:rPr>
          <w:rFonts w:ascii="Arial Unicode MS" w:hAnsi="Arial Unicode MS" w:eastAsia="Arial Unicode MS"/>
          <w:b/>
          <w:color w:val="2E74B5"/>
          <w:sz w:val="26"/>
        </w:rPr>
        <w:t>4.2 阶段二：企业征集与筛选（T-20 至 T-11）</w:t>
      </w:r>
    </w:p>
    <w:p>
      <w:pPr>
        <w:numPr>
          <w:ilvl w:val="0"/>
          <w:numId w:val="14"/>
        </w:numPr>
        <w:spacing w:after="160" w:line="280" w:lineRule="auto"/>
        <w:keepLines w:val="1"/>
      </w:pPr>
      <w:r>
        <w:rPr>
          <w:rFonts w:ascii="Arial Unicode MS" w:hAnsi="Arial Unicode MS" w:eastAsia="Arial Unicode MS"/>
          <w:color w:val="1F2937"/>
          <w:sz w:val="22"/>
        </w:rPr>
        <w:t>三家发起单位通过会员、课题网络、园区和定向邀请征集企业；避免无边界公开扩散。</w:t>
      </w:r>
    </w:p>
    <w:p>
      <w:pPr>
        <w:numPr>
          <w:ilvl w:val="0"/>
          <w:numId w:val="14"/>
        </w:numPr>
        <w:spacing w:after="160" w:line="280" w:lineRule="auto"/>
        <w:keepLines w:val="1"/>
      </w:pPr>
      <w:r>
        <w:rPr>
          <w:rFonts w:ascii="Arial Unicode MS" w:hAnsi="Arial Unicode MS" w:eastAsia="Arial Unicode MS"/>
          <w:color w:val="1F2937"/>
          <w:sz w:val="22"/>
        </w:rPr>
        <w:t>企业提交报名表和需求表，并确认信息使用授权；敏感经营或征信材料不通过普通群聊收集。</w:t>
      </w:r>
    </w:p>
    <w:p>
      <w:pPr>
        <w:numPr>
          <w:ilvl w:val="0"/>
          <w:numId w:val="14"/>
        </w:numPr>
        <w:spacing w:after="160" w:line="280" w:lineRule="auto"/>
        <w:keepLines w:val="1"/>
      </w:pPr>
      <w:r>
        <w:rPr>
          <w:rFonts w:ascii="Arial Unicode MS" w:hAnsi="Arial Unicode MS" w:eastAsia="Arial Unicode MS"/>
          <w:color w:val="1F2937"/>
          <w:sz w:val="22"/>
        </w:rPr>
        <w:t>执行组完成形式审查，通道负责人进行适配判断；必要时安排 15 分钟预访谈。</w:t>
      </w:r>
    </w:p>
    <w:p>
      <w:pPr>
        <w:numPr>
          <w:ilvl w:val="0"/>
          <w:numId w:val="14"/>
        </w:numPr>
        <w:spacing w:after="160" w:line="280" w:lineRule="auto"/>
        <w:keepLines w:val="1"/>
      </w:pPr>
      <w:r>
        <w:rPr>
          <w:rFonts w:ascii="Arial Unicode MS" w:hAnsi="Arial Unicode MS" w:eastAsia="Arial Unicode MS"/>
          <w:color w:val="1F2937"/>
          <w:sz w:val="22"/>
        </w:rPr>
        <w:t>按 A/B/C 分层：A 为需求明确且材料较完整；B 为需求明确但条件待核；C 为需求尚不清晰、以学习交流为主。</w:t>
      </w:r>
    </w:p>
    <w:p>
      <w:pPr>
        <w:numPr>
          <w:ilvl w:val="0"/>
          <w:numId w:val="14"/>
        </w:numPr>
        <w:spacing w:after="160" w:line="280" w:lineRule="auto"/>
        <w:keepLines w:val="1"/>
      </w:pPr>
      <w:r>
        <w:rPr>
          <w:rFonts w:ascii="Arial Unicode MS" w:hAnsi="Arial Unicode MS" w:eastAsia="Arial Unicode MS"/>
          <w:color w:val="1F2937"/>
          <w:sz w:val="22"/>
        </w:rPr>
        <w:t>发布入选通知、候补通知及材料准备清单；不得以“保证贷款”或“获得投资”为活动招募话术。</w:t>
      </w:r>
    </w:p>
    <w:p>
      <w:pPr>
        <w:pStyle w:val="Heading2"/>
        <w:keepLines w:val="1"/>
      </w:pPr>
      <w:r>
        <w:rPr>
          <w:rFonts w:ascii="Arial Unicode MS" w:hAnsi="Arial Unicode MS" w:eastAsia="Arial Unicode MS"/>
          <w:b/>
          <w:color w:val="2E74B5"/>
          <w:sz w:val="26"/>
        </w:rPr>
        <w:t>4.3 阶段三：匹配与会前准备（T-10 至 T-1）</w:t>
      </w:r>
    </w:p>
    <w:p>
      <w:pPr>
        <w:numPr>
          <w:ilvl w:val="0"/>
          <w:numId w:val="15"/>
        </w:numPr>
        <w:spacing w:after="160" w:line="280" w:lineRule="auto"/>
        <w:keepLines w:val="1"/>
      </w:pPr>
      <w:r>
        <w:rPr>
          <w:rFonts w:ascii="Arial Unicode MS" w:hAnsi="Arial Unicode MS" w:eastAsia="Arial Unicode MS"/>
          <w:color w:val="1F2937"/>
          <w:sz w:val="22"/>
        </w:rPr>
        <w:t>建立《企业—需求—负责人》匹配表，每家企业原则上设置 1 名主责任人。</w:t>
      </w:r>
    </w:p>
    <w:p>
      <w:pPr>
        <w:numPr>
          <w:ilvl w:val="0"/>
          <w:numId w:val="15"/>
        </w:numPr>
        <w:spacing w:after="160" w:line="280" w:lineRule="auto"/>
        <w:keepLines w:val="1"/>
      </w:pPr>
      <w:r>
        <w:rPr>
          <w:rFonts w:ascii="Arial Unicode MS" w:hAnsi="Arial Unicode MS" w:eastAsia="Arial Unicode MS"/>
          <w:color w:val="1F2937"/>
          <w:sz w:val="22"/>
        </w:rPr>
        <w:t>银行与专家仅接收完成服务所必需的信息；对融资材料实行权限分级与留痕管理。</w:t>
      </w:r>
    </w:p>
    <w:p>
      <w:pPr>
        <w:numPr>
          <w:ilvl w:val="0"/>
          <w:numId w:val="15"/>
        </w:numPr>
        <w:spacing w:after="160" w:line="280" w:lineRule="auto"/>
        <w:keepLines w:val="1"/>
      </w:pPr>
      <w:r>
        <w:rPr>
          <w:rFonts w:ascii="Arial Unicode MS" w:hAnsi="Arial Unicode MS" w:eastAsia="Arial Unicode MS"/>
          <w:color w:val="1F2937"/>
          <w:sz w:val="22"/>
        </w:rPr>
        <w:t>完成主持稿、嘉宾讲稿、席卡、签到表、服务确认卡、问卷、摄影清单与应急联系人表。</w:t>
      </w:r>
    </w:p>
    <w:p>
      <w:pPr>
        <w:numPr>
          <w:ilvl w:val="0"/>
          <w:numId w:val="15"/>
        </w:numPr>
        <w:spacing w:after="160" w:line="280" w:lineRule="auto"/>
        <w:keepLines w:val="1"/>
      </w:pPr>
      <w:r>
        <w:rPr>
          <w:rFonts w:ascii="Arial Unicode MS" w:hAnsi="Arial Unicode MS" w:eastAsia="Arial Unicode MS"/>
          <w:color w:val="1F2937"/>
          <w:sz w:val="22"/>
        </w:rPr>
        <w:t>T-3 完成全流程彩排；T-1 进行到场确认、场地检查和敏感内容复核。</w:t>
      </w:r>
    </w:p>
    <w:p>
      <w:pPr>
        <w:pStyle w:val="Heading2"/>
        <w:keepLines w:val="1"/>
      </w:pPr>
      <w:r>
        <w:rPr>
          <w:rFonts w:ascii="Arial Unicode MS" w:hAnsi="Arial Unicode MS" w:eastAsia="Arial Unicode MS"/>
          <w:b/>
          <w:color w:val="2E74B5"/>
          <w:sz w:val="26"/>
        </w:rPr>
        <w:t>4.4 阶段四：现场执行（T 日）</w:t>
      </w:r>
    </w:p>
    <w:p>
      <w:pPr>
        <w:numPr>
          <w:ilvl w:val="0"/>
          <w:numId w:val="16"/>
        </w:numPr>
        <w:spacing w:after="160" w:line="280" w:lineRule="auto"/>
        <w:keepLines w:val="1"/>
      </w:pPr>
      <w:r>
        <w:rPr>
          <w:rFonts w:ascii="Arial Unicode MS" w:hAnsi="Arial Unicode MS" w:eastAsia="Arial Unicode MS"/>
          <w:color w:val="1F2937"/>
          <w:sz w:val="22"/>
        </w:rPr>
        <w:t>签到时核验企业与联系人；未授权者不得进入闭门诊断或领取其他企业资料。</w:t>
      </w:r>
    </w:p>
    <w:p>
      <w:pPr>
        <w:numPr>
          <w:ilvl w:val="0"/>
          <w:numId w:val="16"/>
        </w:numPr>
        <w:spacing w:after="160" w:line="280" w:lineRule="auto"/>
        <w:keepLines w:val="1"/>
      </w:pPr>
      <w:r>
        <w:rPr>
          <w:rFonts w:ascii="Arial Unicode MS" w:hAnsi="Arial Unicode MS" w:eastAsia="Arial Unicode MS"/>
          <w:color w:val="1F2937"/>
          <w:sz w:val="22"/>
        </w:rPr>
        <w:t>开场明确：活动不收取助贷中介费用，不承诺授信结果，不公开企业敏感信息。</w:t>
      </w:r>
    </w:p>
    <w:p>
      <w:pPr>
        <w:numPr>
          <w:ilvl w:val="0"/>
          <w:numId w:val="16"/>
        </w:numPr>
        <w:spacing w:after="160" w:line="280" w:lineRule="auto"/>
        <w:keepLines w:val="1"/>
      </w:pPr>
      <w:r>
        <w:rPr>
          <w:rFonts w:ascii="Arial Unicode MS" w:hAnsi="Arial Unicode MS" w:eastAsia="Arial Unicode MS"/>
          <w:color w:val="1F2937"/>
          <w:sz w:val="22"/>
        </w:rPr>
        <w:t>分组问诊由记录员填写服务确认卡，记录事项、责任人、所需补充材料和首次反馈日期。</w:t>
      </w:r>
    </w:p>
    <w:p>
      <w:pPr>
        <w:numPr>
          <w:ilvl w:val="0"/>
          <w:numId w:val="16"/>
        </w:numPr>
        <w:spacing w:after="160" w:line="280" w:lineRule="auto"/>
        <w:keepLines w:val="1"/>
      </w:pPr>
      <w:r>
        <w:rPr>
          <w:rFonts w:ascii="Arial Unicode MS" w:hAnsi="Arial Unicode MS" w:eastAsia="Arial Unicode MS"/>
          <w:color w:val="1F2937"/>
          <w:sz w:val="22"/>
        </w:rPr>
        <w:t>涉及摄影、录音、路演材料外发或技术细节展示的，必须再次确认企业授权范围。</w:t>
      </w:r>
    </w:p>
    <w:p>
      <w:pPr>
        <w:numPr>
          <w:ilvl w:val="0"/>
          <w:numId w:val="16"/>
        </w:numPr>
        <w:spacing w:after="160" w:line="280" w:lineRule="auto"/>
        <w:keepLines w:val="1"/>
      </w:pPr>
      <w:r>
        <w:rPr>
          <w:rFonts w:ascii="Arial Unicode MS" w:hAnsi="Arial Unicode MS" w:eastAsia="Arial Unicode MS"/>
          <w:color w:val="1F2937"/>
          <w:sz w:val="22"/>
        </w:rPr>
        <w:t>散场前项目经理完成任务数、负责人和时限核对；资料当日归档。</w:t>
      </w:r>
    </w:p>
    <w:p>
      <w:pPr>
        <w:pStyle w:val="Heading2"/>
        <w:keepLines w:val="1"/>
      </w:pPr>
      <w:r>
        <w:rPr>
          <w:rFonts w:ascii="Arial Unicode MS" w:hAnsi="Arial Unicode MS" w:eastAsia="Arial Unicode MS"/>
          <w:b/>
          <w:color w:val="2E74B5"/>
          <w:sz w:val="26"/>
        </w:rPr>
        <w:t>4.5 阶段五：跟进与闭环（T+1 至 T+30）</w:t>
      </w:r>
    </w:p>
    <w:p>
      <w:pPr>
        <w:numPr>
          <w:ilvl w:val="0"/>
          <w:numId w:val="17"/>
        </w:numPr>
        <w:spacing w:after="160" w:line="280" w:lineRule="auto"/>
        <w:keepLines w:val="1"/>
      </w:pPr>
      <w:r>
        <w:rPr>
          <w:rFonts w:ascii="Arial Unicode MS" w:hAnsi="Arial Unicode MS" w:eastAsia="Arial Unicode MS"/>
          <w:color w:val="1F2937"/>
          <w:sz w:val="22"/>
        </w:rPr>
        <w:t>T+3 前：完成企业档案、服务任务和授权记录归档，发送感谢与下一步说明。</w:t>
      </w:r>
    </w:p>
    <w:p>
      <w:pPr>
        <w:numPr>
          <w:ilvl w:val="0"/>
          <w:numId w:val="17"/>
        </w:numPr>
        <w:spacing w:after="160" w:line="280" w:lineRule="auto"/>
        <w:keepLines w:val="1"/>
      </w:pPr>
      <w:r>
        <w:rPr>
          <w:rFonts w:ascii="Arial Unicode MS" w:hAnsi="Arial Unicode MS" w:eastAsia="Arial Unicode MS"/>
          <w:color w:val="1F2937"/>
          <w:sz w:val="22"/>
        </w:rPr>
        <w:t>T+5 前：完成任务分派；银行、专家或生态伙伴与企业建立首次联系。</w:t>
      </w:r>
    </w:p>
    <w:p>
      <w:pPr>
        <w:numPr>
          <w:ilvl w:val="0"/>
          <w:numId w:val="17"/>
        </w:numPr>
        <w:spacing w:after="160" w:line="280" w:lineRule="auto"/>
        <w:keepLines w:val="1"/>
      </w:pPr>
      <w:r>
        <w:rPr>
          <w:rFonts w:ascii="Arial Unicode MS" w:hAnsi="Arial Unicode MS" w:eastAsia="Arial Unicode MS"/>
          <w:color w:val="1F2937"/>
          <w:sz w:val="22"/>
        </w:rPr>
        <w:t>T+10 前：至少反馈一次当前状态，包括已受理、待补材料、转介、暂不适配及原因说明。</w:t>
      </w:r>
    </w:p>
    <w:p>
      <w:pPr>
        <w:numPr>
          <w:ilvl w:val="0"/>
          <w:numId w:val="17"/>
        </w:numPr>
        <w:spacing w:after="160" w:line="280" w:lineRule="auto"/>
        <w:keepLines w:val="1"/>
      </w:pPr>
      <w:r>
        <w:rPr>
          <w:rFonts w:ascii="Arial Unicode MS" w:hAnsi="Arial Unicode MS" w:eastAsia="Arial Unicode MS"/>
          <w:color w:val="1F2937"/>
          <w:sz w:val="22"/>
        </w:rPr>
        <w:t>T+20 前：项目经理开展中期催办；对跨团队事项组织小型协调会。</w:t>
      </w:r>
    </w:p>
    <w:p>
      <w:pPr>
        <w:numPr>
          <w:ilvl w:val="0"/>
          <w:numId w:val="17"/>
        </w:numPr>
        <w:spacing w:after="160" w:line="280" w:lineRule="auto"/>
        <w:keepLines w:val="1"/>
      </w:pPr>
      <w:r>
        <w:rPr>
          <w:rFonts w:ascii="Arial Unicode MS" w:hAnsi="Arial Unicode MS" w:eastAsia="Arial Unicode MS"/>
          <w:color w:val="1F2937"/>
          <w:sz w:val="22"/>
        </w:rPr>
        <w:t>T+30 前：完成闭环复盘，将任务标记为已完成、持续跟进、转介完成、企业暂缓或不适配。</w:t>
      </w:r>
    </w:p>
    <w:p>
      <w:pPr>
        <w:pStyle w:val="Heading2"/>
        <w:keepLines w:val="1"/>
      </w:pPr>
      <w:r>
        <w:rPr>
          <w:rFonts w:ascii="Arial Unicode MS" w:hAnsi="Arial Unicode MS" w:eastAsia="Arial Unicode MS"/>
          <w:b/>
          <w:color w:val="2E74B5"/>
          <w:sz w:val="26"/>
        </w:rPr>
        <w:t>4.6 阶段六：复盘与迭代（T+31 至下一场 T-21）</w:t>
      </w:r>
    </w:p>
    <w:p>
      <w:pPr>
        <w:numPr>
          <w:ilvl w:val="0"/>
          <w:numId w:val="18"/>
        </w:numPr>
        <w:spacing w:after="160" w:line="280" w:lineRule="auto"/>
        <w:keepLines w:val="1"/>
      </w:pPr>
      <w:r>
        <w:rPr>
          <w:rFonts w:ascii="Arial Unicode MS" w:hAnsi="Arial Unicode MS" w:eastAsia="Arial Unicode MS"/>
          <w:color w:val="1F2937"/>
          <w:sz w:val="22"/>
        </w:rPr>
        <w:t>输出单场复盘表：到场、需求、任务、进度、转化、满意度、风险与改进。</w:t>
      </w:r>
    </w:p>
    <w:p>
      <w:pPr>
        <w:numPr>
          <w:ilvl w:val="0"/>
          <w:numId w:val="18"/>
        </w:numPr>
        <w:spacing w:after="160" w:line="280" w:lineRule="auto"/>
        <w:keepLines w:val="1"/>
      </w:pPr>
      <w:r>
        <w:rPr>
          <w:rFonts w:ascii="Arial Unicode MS" w:hAnsi="Arial Unicode MS" w:eastAsia="Arial Unicode MS"/>
          <w:color w:val="1F2937"/>
          <w:sz w:val="22"/>
        </w:rPr>
        <w:t>选取可公开案例时进行匿名化处理，并取得企业对外发布的书面确认。</w:t>
      </w:r>
    </w:p>
    <w:p>
      <w:pPr>
        <w:numPr>
          <w:ilvl w:val="0"/>
          <w:numId w:val="18"/>
        </w:numPr>
        <w:spacing w:after="160" w:line="280" w:lineRule="auto"/>
        <w:keepLines w:val="1"/>
      </w:pPr>
      <w:r>
        <w:rPr>
          <w:rFonts w:ascii="Arial Unicode MS" w:hAnsi="Arial Unicode MS" w:eastAsia="Arial Unicode MS"/>
          <w:color w:val="1F2937"/>
          <w:sz w:val="22"/>
        </w:rPr>
        <w:t>将共性问题转化为下一场主题、专题课程、金融服务或技术供需清单。</w:t>
      </w:r>
    </w:p>
    <w:p>
      <w:pPr>
        <w:pStyle w:val="Heading1"/>
        <w:keepLines w:val="1"/>
      </w:pPr>
      <w:r>
        <w:rPr>
          <w:rFonts w:ascii="Arial Unicode MS" w:hAnsi="Arial Unicode MS" w:eastAsia="Arial Unicode MS"/>
          <w:b/>
          <w:color w:val="2E74B5"/>
          <w:sz w:val="32"/>
        </w:rPr>
        <w:t>五、三条服务链路的闭环设计</w:t>
      </w:r>
    </w:p>
    <w:p>
      <w:pPr>
        <w:pStyle w:val="Heading2"/>
        <w:keepLines w:val="1"/>
      </w:pPr>
      <w:r>
        <w:rPr>
          <w:rFonts w:ascii="Arial Unicode MS" w:hAnsi="Arial Unicode MS" w:eastAsia="Arial Unicode MS"/>
          <w:b/>
          <w:color w:val="2E74B5"/>
          <w:sz w:val="26"/>
        </w:rPr>
        <w:t>5.1 助贷与助融</w:t>
      </w:r>
    </w:p>
    <w:p>
      <w:pPr>
        <w:spacing w:after="120"/>
        <w:keepLines w:val="1"/>
      </w:pPr>
      <w:r>
        <w:rPr>
          <w:rFonts w:ascii="Arial Unicode MS" w:hAnsi="Arial Unicode MS" w:eastAsia="Arial Unicode MS"/>
          <w:color w:val="1F2937"/>
          <w:sz w:val="22"/>
        </w:rPr>
        <w:t>定位：帮助企业把经营需求翻译成规范的金融需求，提高银企沟通效率；同时为暂不适配银行信贷的企业提供政策、担保、股权、产业资源等合规转介。</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300"/>
        <w:gridCol w:w="3150"/>
        <w:gridCol w:w="1600"/>
        <w:gridCol w:w="1700"/>
        <w:gridCol w:w="1610"/>
      </w:tblGrid>
      <w:tr>
        <w:trPr>
          <w:trHeight w:hRule="atLeast"/>
          <w:tblHeader w:val="true"/>
        </w:trPr>
        <w:tc>
          <w:tcPr>
            <w:tcW w:type="dxa" w:w="130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6"/>
              </w:rPr>
              <w:t>环节</w:t>
            </w:r>
          </w:p>
        </w:tc>
        <w:tc>
          <w:tcPr>
            <w:tcW w:type="dxa" w:w="315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6"/>
              </w:rPr>
              <w:t>关键动作</w:t>
            </w:r>
          </w:p>
        </w:tc>
        <w:tc>
          <w:tcPr>
            <w:tcW w:type="dxa" w:w="160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6"/>
              </w:rPr>
              <w:t>责任主体</w:t>
            </w:r>
          </w:p>
        </w:tc>
        <w:tc>
          <w:tcPr>
            <w:tcW w:type="dxa" w:w="170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6"/>
              </w:rPr>
              <w:t>标准输出</w:t>
            </w:r>
          </w:p>
        </w:tc>
        <w:tc>
          <w:tcPr>
            <w:tcW w:type="dxa" w:w="161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6"/>
              </w:rPr>
              <w:t>合规边界</w:t>
            </w:r>
          </w:p>
        </w:tc>
      </w:tr>
      <w:tr>
        <w:trPr>
          <w:trHeight w:hRule="atLeast"/>
        </w:trPr>
        <w:tc>
          <w:tcPr>
            <w:tcW w:type="dxa" w:w="13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需求识别</w:t>
            </w:r>
          </w:p>
        </w:tc>
        <w:tc>
          <w:tcPr>
            <w:tcW w:type="dxa" w:w="315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确认资金用途、金额区间、期限、还款来源、现有负债及紧迫性</w:t>
            </w:r>
          </w:p>
        </w:tc>
        <w:tc>
          <w:tcPr>
            <w:tcW w:type="dxa" w:w="16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联合会初筛；银行复核</w:t>
            </w:r>
          </w:p>
        </w:tc>
        <w:tc>
          <w:tcPr>
            <w:tcW w:type="dxa" w:w="17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融资需求卡</w:t>
            </w:r>
          </w:p>
        </w:tc>
        <w:tc>
          <w:tcPr>
            <w:tcW w:type="dxa" w:w="161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仅收集必要信息</w:t>
            </w:r>
          </w:p>
        </w:tc>
      </w:tr>
      <w:tr>
        <w:trPr>
          <w:trHeight w:hRule="atLeast"/>
        </w:trPr>
        <w:tc>
          <w:tcPr>
            <w:tcW w:type="dxa" w:w="13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融资体检</w:t>
            </w:r>
          </w:p>
        </w:tc>
        <w:tc>
          <w:tcPr>
            <w:tcW w:type="dxa" w:w="315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经营连续性、订单、现金流、研发与设备投入、担保条件等</w:t>
            </w:r>
          </w:p>
        </w:tc>
        <w:tc>
          <w:tcPr>
            <w:tcW w:type="dxa" w:w="16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泰隆银行</w:t>
            </w:r>
          </w:p>
        </w:tc>
        <w:tc>
          <w:tcPr>
            <w:tcW w:type="dxa" w:w="17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材料清单与沟通建议</w:t>
            </w:r>
          </w:p>
        </w:tc>
        <w:tc>
          <w:tcPr>
            <w:tcW w:type="dxa" w:w="161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不形成授信承诺</w:t>
            </w:r>
          </w:p>
        </w:tc>
      </w:tr>
      <w:tr>
        <w:trPr>
          <w:trHeight w:hRule="atLeast"/>
        </w:trPr>
        <w:tc>
          <w:tcPr>
            <w:tcW w:type="dxa" w:w="13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受理 / 转介</w:t>
            </w:r>
          </w:p>
        </w:tc>
        <w:tc>
          <w:tcPr>
            <w:tcW w:type="dxa" w:w="315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符合银行受理条件的进入独立流程；其他需求转合规渠道</w:t>
            </w:r>
          </w:p>
        </w:tc>
        <w:tc>
          <w:tcPr>
            <w:tcW w:type="dxa" w:w="16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银行 / 生态伙伴</w:t>
            </w:r>
          </w:p>
        </w:tc>
        <w:tc>
          <w:tcPr>
            <w:tcW w:type="dxa" w:w="17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任务编号与责任人</w:t>
            </w:r>
          </w:p>
        </w:tc>
        <w:tc>
          <w:tcPr>
            <w:tcW w:type="dxa" w:w="161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禁止收取助贷撮合费用</w:t>
            </w:r>
          </w:p>
        </w:tc>
      </w:tr>
      <w:tr>
        <w:trPr>
          <w:trHeight w:hRule="atLeast"/>
        </w:trPr>
        <w:tc>
          <w:tcPr>
            <w:tcW w:type="dxa" w:w="13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进度反馈</w:t>
            </w:r>
          </w:p>
        </w:tc>
        <w:tc>
          <w:tcPr>
            <w:tcW w:type="dxa" w:w="315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受理、补件、审批、转介或不适配原因说明</w:t>
            </w:r>
          </w:p>
        </w:tc>
        <w:tc>
          <w:tcPr>
            <w:tcW w:type="dxa" w:w="16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主责任人</w:t>
            </w:r>
          </w:p>
        </w:tc>
        <w:tc>
          <w:tcPr>
            <w:tcW w:type="dxa" w:w="17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节点更新</w:t>
            </w:r>
          </w:p>
        </w:tc>
        <w:tc>
          <w:tcPr>
            <w:tcW w:type="dxa" w:w="161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尊重银行审批独立性</w:t>
            </w:r>
          </w:p>
        </w:tc>
      </w:tr>
      <w:tr>
        <w:trPr>
          <w:trHeight w:hRule="atLeast"/>
        </w:trPr>
        <w:tc>
          <w:tcPr>
            <w:tcW w:type="dxa" w:w="13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成果沉淀</w:t>
            </w:r>
          </w:p>
        </w:tc>
        <w:tc>
          <w:tcPr>
            <w:tcW w:type="dxa" w:w="315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匿名化案例、共性材料问题、产品建议</w:t>
            </w:r>
          </w:p>
        </w:tc>
        <w:tc>
          <w:tcPr>
            <w:tcW w:type="dxa" w:w="16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项目办公室</w:t>
            </w:r>
          </w:p>
        </w:tc>
        <w:tc>
          <w:tcPr>
            <w:tcW w:type="dxa" w:w="17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案例卡 / 月报</w:t>
            </w:r>
          </w:p>
        </w:tc>
        <w:tc>
          <w:tcPr>
            <w:tcW w:type="dxa" w:w="161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6"/>
              </w:rPr>
              <w:t>企业书面确认后公开</w:t>
            </w:r>
          </w:p>
        </w:tc>
      </w:tr>
    </w:tbl>
    <w:p>
      <w:pPr>
        <w:spacing w:after="40"/>
        <w:keepLines w:val="1"/>
      </w:pPr>
    </w:p>
    <w:p>
      <w:pPr>
        <w:pStyle w:val="Heading2"/>
        <w:keepLines w:val="1"/>
      </w:pPr>
      <w:r>
        <w:rPr>
          <w:rFonts w:ascii="Arial Unicode MS" w:hAnsi="Arial Unicode MS" w:eastAsia="Arial Unicode MS"/>
          <w:b/>
          <w:color w:val="2E74B5"/>
          <w:sz w:val="26"/>
        </w:rPr>
        <w:t>5.2 出海支持</w:t>
      </w:r>
    </w:p>
    <w:p>
      <w:pPr>
        <w:spacing w:after="120"/>
        <w:keepLines w:val="1"/>
      </w:pPr>
      <w:r>
        <w:rPr>
          <w:rFonts w:ascii="Arial Unicode MS" w:hAnsi="Arial Unicode MS" w:eastAsia="Arial Unicode MS"/>
          <w:color w:val="1F2937"/>
          <w:sz w:val="22"/>
        </w:rPr>
        <w:t>定位：围绕“交易可完成、资金可管理、风险可识别、服务可连接”帮助企业建立出海基础能力。银行重点对接跨境收付、贸易融资及相关金融需求，法律、税务、知识产权、数据与目的地市场等事项由具备资质的专业伙伴承接。</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500"/>
        <w:gridCol w:w="3000"/>
        <w:gridCol w:w="2800"/>
        <w:gridCol w:w="2060"/>
      </w:tblGrid>
      <w:tr>
        <w:trPr>
          <w:trHeight w:hRule="atLeast"/>
          <w:tblHeader w:val="true"/>
        </w:trPr>
        <w:tc>
          <w:tcPr>
            <w:tcW w:type="dxa" w:w="150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7"/>
              </w:rPr>
              <w:t>企业阶段</w:t>
            </w:r>
          </w:p>
        </w:tc>
        <w:tc>
          <w:tcPr>
            <w:tcW w:type="dxa" w:w="300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7"/>
              </w:rPr>
              <w:t>主要问题</w:t>
            </w:r>
          </w:p>
        </w:tc>
        <w:tc>
          <w:tcPr>
            <w:tcW w:type="dxa" w:w="280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7"/>
              </w:rPr>
              <w:t>参访服务</w:t>
            </w:r>
          </w:p>
        </w:tc>
        <w:tc>
          <w:tcPr>
            <w:tcW w:type="dxa" w:w="206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7"/>
              </w:rPr>
              <w:t>后续责任</w:t>
            </w:r>
          </w:p>
        </w:tc>
      </w:tr>
      <w:tr>
        <w:trPr>
          <w:trHeight w:hRule="atLeast"/>
        </w:trPr>
        <w:tc>
          <w:tcPr>
            <w:tcW w:type="dxa" w:w="15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准备期</w:t>
            </w:r>
          </w:p>
        </w:tc>
        <w:tc>
          <w:tcPr>
            <w:tcW w:type="dxa" w:w="30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市场选择、交易结构、收款路径、知识产权与合规</w:t>
            </w:r>
          </w:p>
        </w:tc>
        <w:tc>
          <w:tcPr>
            <w:tcW w:type="dxa" w:w="28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出海成熟度初测；服务伙伴匹配</w:t>
            </w:r>
          </w:p>
        </w:tc>
        <w:tc>
          <w:tcPr>
            <w:tcW w:type="dxa" w:w="20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联合会 / 专业机构</w:t>
            </w:r>
          </w:p>
        </w:tc>
      </w:tr>
      <w:tr>
        <w:trPr>
          <w:trHeight w:hRule="atLeast"/>
        </w:trPr>
        <w:tc>
          <w:tcPr>
            <w:tcW w:type="dxa" w:w="15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首单期</w:t>
            </w:r>
          </w:p>
        </w:tc>
        <w:tc>
          <w:tcPr>
            <w:tcW w:type="dxa" w:w="30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开户、跨境收付、单证、汇率波动、账期</w:t>
            </w:r>
          </w:p>
        </w:tc>
        <w:tc>
          <w:tcPr>
            <w:tcW w:type="dxa" w:w="28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银行国际业务沟通；单证清单</w:t>
            </w:r>
          </w:p>
        </w:tc>
        <w:tc>
          <w:tcPr>
            <w:tcW w:type="dxa" w:w="20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泰隆银行相关团队</w:t>
            </w:r>
          </w:p>
        </w:tc>
      </w:tr>
      <w:tr>
        <w:trPr>
          <w:trHeight w:hRule="atLeast"/>
        </w:trPr>
        <w:tc>
          <w:tcPr>
            <w:tcW w:type="dxa" w:w="15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增长期</w:t>
            </w:r>
          </w:p>
        </w:tc>
        <w:tc>
          <w:tcPr>
            <w:tcW w:type="dxa" w:w="30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贸易融资、资金周转、跨境电商、多币种管理</w:t>
            </w:r>
          </w:p>
        </w:tc>
        <w:tc>
          <w:tcPr>
            <w:tcW w:type="dxa" w:w="28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交易与资金方案诊断</w:t>
            </w:r>
          </w:p>
        </w:tc>
        <w:tc>
          <w:tcPr>
            <w:tcW w:type="dxa" w:w="20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银行 + 专业机构</w:t>
            </w:r>
          </w:p>
        </w:tc>
      </w:tr>
      <w:tr>
        <w:trPr>
          <w:trHeight w:hRule="atLeast"/>
        </w:trPr>
        <w:tc>
          <w:tcPr>
            <w:tcW w:type="dxa" w:w="15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本地化期</w:t>
            </w:r>
          </w:p>
        </w:tc>
        <w:tc>
          <w:tcPr>
            <w:tcW w:type="dxa" w:w="30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境外主体、税务、人力、数据、供应链与品牌</w:t>
            </w:r>
          </w:p>
        </w:tc>
        <w:tc>
          <w:tcPr>
            <w:tcW w:type="dxa" w:w="28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专题闭门会；目的地资源连接</w:t>
            </w:r>
          </w:p>
        </w:tc>
        <w:tc>
          <w:tcPr>
            <w:tcW w:type="dxa" w:w="20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专业机构 / 生态伙伴</w:t>
            </w:r>
          </w:p>
        </w:tc>
      </w:tr>
    </w:tbl>
    <w:p>
      <w:pPr>
        <w:spacing w:after="40"/>
        <w:keepLines w:val="1"/>
      </w:pPr>
    </w:p>
    <w:p>
      <w:pPr>
        <w:pStyle w:val="Heading2"/>
        <w:keepLines w:val="1"/>
      </w:pPr>
      <w:r>
        <w:rPr>
          <w:rFonts w:ascii="Arial Unicode MS" w:hAnsi="Arial Unicode MS" w:eastAsia="Arial Unicode MS"/>
          <w:b/>
          <w:color w:val="2E74B5"/>
          <w:sz w:val="26"/>
        </w:rPr>
        <w:t>5.3 科技链接</w:t>
      </w:r>
    </w:p>
    <w:p>
      <w:pPr>
        <w:spacing w:after="120"/>
        <w:keepLines w:val="1"/>
      </w:pPr>
      <w:r>
        <w:rPr>
          <w:rFonts w:ascii="Arial Unicode MS" w:hAnsi="Arial Unicode MS" w:eastAsia="Arial Unicode MS"/>
          <w:color w:val="1F2937"/>
          <w:sz w:val="22"/>
        </w:rPr>
        <w:t>定位：围绕技术、场景、产业链和数智化能力，连接高校成果、企业需求、银行客户资源与园区场景。科技链接不以“技术展示”结束，而以可验证的小试、中试、采购、联合研发或数字化改造任务为闭环。</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600"/>
        <w:gridCol w:w="2500"/>
        <w:gridCol w:w="2800"/>
        <w:gridCol w:w="2460"/>
      </w:tblGrid>
      <w:tr>
        <w:trPr>
          <w:trHeight w:hRule="atLeast"/>
          <w:tblHeader w:val="true"/>
        </w:trPr>
        <w:tc>
          <w:tcPr>
            <w:tcW w:type="dxa" w:w="160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7"/>
              </w:rPr>
              <w:t>链接类型</w:t>
            </w:r>
          </w:p>
        </w:tc>
        <w:tc>
          <w:tcPr>
            <w:tcW w:type="dxa" w:w="250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7"/>
              </w:rPr>
              <w:t>输入</w:t>
            </w:r>
          </w:p>
        </w:tc>
        <w:tc>
          <w:tcPr>
            <w:tcW w:type="dxa" w:w="280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7"/>
              </w:rPr>
              <w:t>匹配方式</w:t>
            </w:r>
          </w:p>
        </w:tc>
        <w:tc>
          <w:tcPr>
            <w:tcW w:type="dxa" w:w="246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7"/>
              </w:rPr>
              <w:t>可交付成果</w:t>
            </w:r>
          </w:p>
        </w:tc>
      </w:tr>
      <w:tr>
        <w:trPr>
          <w:trHeight w:hRule="atLeast"/>
        </w:trPr>
        <w:tc>
          <w:tcPr>
            <w:tcW w:type="dxa" w:w="16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技术供需</w:t>
            </w:r>
          </w:p>
        </w:tc>
        <w:tc>
          <w:tcPr>
            <w:tcW w:type="dxa" w:w="25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企业技术难题 / 高校成果</w:t>
            </w:r>
          </w:p>
        </w:tc>
        <w:tc>
          <w:tcPr>
            <w:tcW w:type="dxa" w:w="28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需求揭榜、专家会诊、成果路演</w:t>
            </w:r>
          </w:p>
        </w:tc>
        <w:tc>
          <w:tcPr>
            <w:tcW w:type="dxa" w:w="24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技术交流纪要、验证计划、联合研发意向</w:t>
            </w:r>
          </w:p>
        </w:tc>
      </w:tr>
      <w:tr>
        <w:trPr>
          <w:trHeight w:hRule="atLeast"/>
        </w:trPr>
        <w:tc>
          <w:tcPr>
            <w:tcW w:type="dxa" w:w="16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应用场景</w:t>
            </w:r>
          </w:p>
        </w:tc>
        <w:tc>
          <w:tcPr>
            <w:tcW w:type="dxa" w:w="25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产品能力 / 企业或园区场景</w:t>
            </w:r>
          </w:p>
        </w:tc>
        <w:tc>
          <w:tcPr>
            <w:tcW w:type="dxa" w:w="28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场景发布、POC 对接、试用评估</w:t>
            </w:r>
          </w:p>
        </w:tc>
        <w:tc>
          <w:tcPr>
            <w:tcW w:type="dxa" w:w="24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场景任务书、POC 结果、采购线索</w:t>
            </w:r>
          </w:p>
        </w:tc>
      </w:tr>
      <w:tr>
        <w:trPr>
          <w:trHeight w:hRule="atLeast"/>
        </w:trPr>
        <w:tc>
          <w:tcPr>
            <w:tcW w:type="dxa" w:w="16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产业链协同</w:t>
            </w:r>
          </w:p>
        </w:tc>
        <w:tc>
          <w:tcPr>
            <w:tcW w:type="dxa" w:w="25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采购需求 / 供应能力</w:t>
            </w:r>
          </w:p>
        </w:tc>
        <w:tc>
          <w:tcPr>
            <w:tcW w:type="dxa" w:w="28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链主带动、上下游路演、定向洽谈</w:t>
            </w:r>
          </w:p>
        </w:tc>
        <w:tc>
          <w:tcPr>
            <w:tcW w:type="dxa" w:w="24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供需清单、商务会谈、合作意向</w:t>
            </w:r>
          </w:p>
        </w:tc>
      </w:tr>
      <w:tr>
        <w:trPr>
          <w:trHeight w:hRule="atLeast"/>
        </w:trPr>
        <w:tc>
          <w:tcPr>
            <w:tcW w:type="dxa" w:w="16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数智化升级</w:t>
            </w:r>
          </w:p>
        </w:tc>
        <w:tc>
          <w:tcPr>
            <w:tcW w:type="dxa" w:w="25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经营痛点 / 数字化工具</w:t>
            </w:r>
          </w:p>
        </w:tc>
        <w:tc>
          <w:tcPr>
            <w:tcW w:type="dxa" w:w="28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诊断工作坊、标杆参访、服务商匹配</w:t>
            </w:r>
          </w:p>
        </w:tc>
        <w:tc>
          <w:tcPr>
            <w:tcW w:type="dxa" w:w="24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改造建议、试点范围、效益指标</w:t>
            </w:r>
          </w:p>
        </w:tc>
      </w:tr>
    </w:tbl>
    <w:p>
      <w:pPr>
        <w:spacing w:after="40"/>
        <w:keepLines w:val="1"/>
      </w:pPr>
    </w:p>
    <w:p>
      <w:pPr>
        <w:pStyle w:val="Heading1"/>
        <w:keepLines w:val="1"/>
      </w:pPr>
      <w:r>
        <w:rPr>
          <w:rFonts w:ascii="Arial Unicode MS" w:hAnsi="Arial Unicode MS" w:eastAsia="Arial Unicode MS"/>
          <w:b/>
          <w:color w:val="2E74B5"/>
          <w:sz w:val="32"/>
        </w:rPr>
        <w:t>六、组织机制与责任分工</w:t>
      </w:r>
    </w:p>
    <w:p>
      <w:pPr>
        <w:pStyle w:val="Heading2"/>
        <w:keepLines w:val="1"/>
      </w:pPr>
      <w:r>
        <w:rPr>
          <w:rFonts w:ascii="Arial Unicode MS" w:hAnsi="Arial Unicode MS" w:eastAsia="Arial Unicode MS"/>
          <w:b/>
          <w:color w:val="2E74B5"/>
          <w:sz w:val="26"/>
        </w:rPr>
        <w:t>6.1 联合工作组</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600"/>
        <w:gridCol w:w="3100"/>
        <w:gridCol w:w="4660"/>
      </w:tblGrid>
      <w:tr>
        <w:trPr>
          <w:trHeight w:hRule="atLeast"/>
          <w:tblHeader w:val="true"/>
        </w:trPr>
        <w:tc>
          <w:tcPr>
            <w:tcW w:type="dxa" w:w="160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7"/>
              </w:rPr>
              <w:t>角色</w:t>
            </w:r>
          </w:p>
        </w:tc>
        <w:tc>
          <w:tcPr>
            <w:tcW w:type="dxa" w:w="310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7"/>
              </w:rPr>
              <w:t>建议组成</w:t>
            </w:r>
          </w:p>
        </w:tc>
        <w:tc>
          <w:tcPr>
            <w:tcW w:type="dxa" w:w="466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7"/>
              </w:rPr>
              <w:t>核心职责</w:t>
            </w:r>
          </w:p>
        </w:tc>
      </w:tr>
      <w:tr>
        <w:trPr>
          <w:trHeight w:hRule="atLeast"/>
        </w:trPr>
        <w:tc>
          <w:tcPr>
            <w:tcW w:type="dxa" w:w="16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指导组</w:t>
            </w:r>
          </w:p>
        </w:tc>
        <w:tc>
          <w:tcPr>
            <w:tcW w:type="dxa" w:w="31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四方分管负责人各 1 名</w:t>
            </w:r>
          </w:p>
        </w:tc>
        <w:tc>
          <w:tcPr>
            <w:tcW w:type="dxa" w:w="46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审定年度方向、关键资源、对外口径与重大事项</w:t>
            </w:r>
          </w:p>
        </w:tc>
      </w:tr>
      <w:tr>
        <w:trPr>
          <w:trHeight w:hRule="atLeast"/>
        </w:trPr>
        <w:tc>
          <w:tcPr>
            <w:tcW w:type="dxa" w:w="16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项目办公室</w:t>
            </w:r>
          </w:p>
        </w:tc>
        <w:tc>
          <w:tcPr>
            <w:tcW w:type="dxa" w:w="31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三家发起单位 + 泰隆银行项目联系人</w:t>
            </w:r>
          </w:p>
        </w:tc>
        <w:tc>
          <w:tcPr>
            <w:tcW w:type="dxa" w:w="46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月度计划、台账、会议组织、进度催办、成果报告</w:t>
            </w:r>
          </w:p>
        </w:tc>
      </w:tr>
      <w:tr>
        <w:trPr>
          <w:trHeight w:hRule="atLeast"/>
        </w:trPr>
        <w:tc>
          <w:tcPr>
            <w:tcW w:type="dxa" w:w="16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三链负责人</w:t>
            </w:r>
          </w:p>
        </w:tc>
        <w:tc>
          <w:tcPr>
            <w:tcW w:type="dxa" w:w="31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助贷助融、出海、科技各 1 名主责</w:t>
            </w:r>
          </w:p>
        </w:tc>
        <w:tc>
          <w:tcPr>
            <w:tcW w:type="dxa" w:w="46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需求判断、资源分派、质量把关、节点反馈</w:t>
            </w:r>
          </w:p>
        </w:tc>
      </w:tr>
      <w:tr>
        <w:trPr>
          <w:trHeight w:hRule="atLeast"/>
        </w:trPr>
        <w:tc>
          <w:tcPr>
            <w:tcW w:type="dxa" w:w="16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活动执行组</w:t>
            </w:r>
          </w:p>
        </w:tc>
        <w:tc>
          <w:tcPr>
            <w:tcW w:type="dxa" w:w="31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承办方、会务、主持、记录、摄影及安全人员</w:t>
            </w:r>
          </w:p>
        </w:tc>
        <w:tc>
          <w:tcPr>
            <w:tcW w:type="dxa" w:w="46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现场运行、材料管理、应急与满意度回收</w:t>
            </w:r>
          </w:p>
        </w:tc>
      </w:tr>
      <w:tr>
        <w:trPr>
          <w:trHeight w:hRule="atLeast"/>
        </w:trPr>
        <w:tc>
          <w:tcPr>
            <w:tcW w:type="dxa" w:w="16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合规与数据窗口</w:t>
            </w:r>
          </w:p>
        </w:tc>
        <w:tc>
          <w:tcPr>
            <w:tcW w:type="dxa" w:w="31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银行合规 / 业务人员 + 项目数据管理员</w:t>
            </w:r>
          </w:p>
        </w:tc>
        <w:tc>
          <w:tcPr>
            <w:tcW w:type="dxa" w:w="46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宣传口径、数据授权、敏感信息与材料流转审查</w:t>
            </w:r>
          </w:p>
        </w:tc>
      </w:tr>
    </w:tbl>
    <w:p>
      <w:pPr>
        <w:spacing w:after="40"/>
        <w:keepLines w:val="1"/>
      </w:pPr>
    </w:p>
    <w:p>
      <w:pPr>
        <w:pStyle w:val="Heading2"/>
        <w:keepLines w:val="1"/>
      </w:pPr>
      <w:r>
        <w:rPr>
          <w:rFonts w:ascii="Arial Unicode MS" w:hAnsi="Arial Unicode MS" w:eastAsia="Arial Unicode MS"/>
          <w:b/>
          <w:color w:val="2E74B5"/>
          <w:sz w:val="26"/>
        </w:rPr>
        <w:t>6.2 决策与沟通节奏</w:t>
      </w:r>
    </w:p>
    <w:p>
      <w:pPr>
        <w:numPr>
          <w:ilvl w:val="0"/>
          <w:numId w:val="10"/>
        </w:numPr>
        <w:spacing w:after="160" w:line="280" w:lineRule="auto"/>
        <w:keepLines w:val="1"/>
      </w:pPr>
      <w:r>
        <w:rPr>
          <w:rFonts w:ascii="Arial Unicode MS" w:hAnsi="Arial Unicode MS" w:eastAsia="Arial Unicode MS"/>
          <w:color w:val="1F2937"/>
          <w:sz w:val="22"/>
        </w:rPr>
        <w:t>月度立项会：每月 T-30 前，确认主题、对象、场地、预算、主讲人与产出。</w:t>
      </w:r>
    </w:p>
    <w:p>
      <w:pPr>
        <w:numPr>
          <w:ilvl w:val="0"/>
          <w:numId w:val="10"/>
        </w:numPr>
        <w:spacing w:after="160" w:line="280" w:lineRule="auto"/>
        <w:keepLines w:val="1"/>
      </w:pPr>
      <w:r>
        <w:rPr>
          <w:rFonts w:ascii="Arial Unicode MS" w:hAnsi="Arial Unicode MS" w:eastAsia="Arial Unicode MS"/>
          <w:color w:val="1F2937"/>
          <w:sz w:val="22"/>
        </w:rPr>
        <w:t>会前碰头会：T-10、T-3 各 1 次，解决企业匹配、流程与风险事项。</w:t>
      </w:r>
    </w:p>
    <w:p>
      <w:pPr>
        <w:numPr>
          <w:ilvl w:val="0"/>
          <w:numId w:val="10"/>
        </w:numPr>
        <w:spacing w:after="160" w:line="280" w:lineRule="auto"/>
        <w:keepLines w:val="1"/>
      </w:pPr>
      <w:r>
        <w:rPr>
          <w:rFonts w:ascii="Arial Unicode MS" w:hAnsi="Arial Unicode MS" w:eastAsia="Arial Unicode MS"/>
          <w:color w:val="1F2937"/>
          <w:sz w:val="22"/>
        </w:rPr>
        <w:t>服务周会：活动后连续 4 周，每周 30 分钟，只讨论逾期与跨团队事项。</w:t>
      </w:r>
    </w:p>
    <w:p>
      <w:pPr>
        <w:numPr>
          <w:ilvl w:val="0"/>
          <w:numId w:val="10"/>
        </w:numPr>
        <w:spacing w:after="160" w:line="280" w:lineRule="auto"/>
        <w:keepLines w:val="1"/>
      </w:pPr>
      <w:r>
        <w:rPr>
          <w:rFonts w:ascii="Arial Unicode MS" w:hAnsi="Arial Unicode MS" w:eastAsia="Arial Unicode MS"/>
          <w:color w:val="1F2937"/>
          <w:sz w:val="22"/>
        </w:rPr>
        <w:t>季度 / 年度复盘：10 月中期复盘，12 月年度复盘并确认下一周期。</w:t>
      </w:r>
    </w:p>
    <w:p>
      <w:pPr>
        <w:pStyle w:val="Heading1"/>
        <w:keepLines w:val="1"/>
      </w:pPr>
      <w:r>
        <w:rPr>
          <w:rFonts w:ascii="Arial Unicode MS" w:hAnsi="Arial Unicode MS" w:eastAsia="Arial Unicode MS"/>
          <w:b/>
          <w:color w:val="2E74B5"/>
          <w:sz w:val="32"/>
        </w:rPr>
        <w:t>七、企业筛选与服务分层</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5000"/>
        <w:gridCol w:w="2560"/>
      </w:tblGrid>
      <w:tr>
        <w:trPr>
          <w:trHeight w:hRule="atLeast"/>
          <w:tblHeader w:val="true"/>
        </w:trPr>
        <w:tc>
          <w:tcPr>
            <w:tcW w:type="dxa" w:w="180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7"/>
              </w:rPr>
              <w:t>维度</w:t>
            </w:r>
          </w:p>
        </w:tc>
        <w:tc>
          <w:tcPr>
            <w:tcW w:type="dxa" w:w="500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7"/>
              </w:rPr>
              <w:t>观察要点</w:t>
            </w:r>
          </w:p>
        </w:tc>
        <w:tc>
          <w:tcPr>
            <w:tcW w:type="dxa" w:w="256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7"/>
              </w:rPr>
              <w:t>用途</w:t>
            </w:r>
          </w:p>
        </w:tc>
      </w:tr>
      <w:tr>
        <w:trPr>
          <w:trHeight w:hRule="atLeast"/>
        </w:trPr>
        <w:tc>
          <w:tcPr>
            <w:tcW w:type="dxa" w:w="18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基本适配</w:t>
            </w:r>
          </w:p>
        </w:tc>
        <w:tc>
          <w:tcPr>
            <w:tcW w:type="dxa" w:w="50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依法经营、主体明确、联系人稳定、愿意提供真实必要信息</w:t>
            </w:r>
          </w:p>
        </w:tc>
        <w:tc>
          <w:tcPr>
            <w:tcW w:type="dxa" w:w="25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决定是否进入服务池</w:t>
            </w:r>
          </w:p>
        </w:tc>
      </w:tr>
      <w:tr>
        <w:trPr>
          <w:trHeight w:hRule="atLeast"/>
        </w:trPr>
        <w:tc>
          <w:tcPr>
            <w:tcW w:type="dxa" w:w="18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需求清晰度</w:t>
            </w:r>
          </w:p>
        </w:tc>
        <w:tc>
          <w:tcPr>
            <w:tcW w:type="dxa" w:w="50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问题、目标、时点、预算 / 金额区间、内部负责人是否明确</w:t>
            </w:r>
          </w:p>
        </w:tc>
        <w:tc>
          <w:tcPr>
            <w:tcW w:type="dxa" w:w="25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决定是否进入闭门诊断</w:t>
            </w:r>
          </w:p>
        </w:tc>
      </w:tr>
      <w:tr>
        <w:trPr>
          <w:trHeight w:hRule="atLeast"/>
        </w:trPr>
        <w:tc>
          <w:tcPr>
            <w:tcW w:type="dxa" w:w="18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材料准备度</w:t>
            </w:r>
          </w:p>
        </w:tc>
        <w:tc>
          <w:tcPr>
            <w:tcW w:type="dxa" w:w="50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经营、合同、订单、财务、技术或出海材料是否可验证</w:t>
            </w:r>
          </w:p>
        </w:tc>
        <w:tc>
          <w:tcPr>
            <w:tcW w:type="dxa" w:w="25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确定 A/B/C 级和会前辅导</w:t>
            </w:r>
          </w:p>
        </w:tc>
      </w:tr>
      <w:tr>
        <w:trPr>
          <w:trHeight w:hRule="atLeast"/>
        </w:trPr>
        <w:tc>
          <w:tcPr>
            <w:tcW w:type="dxa" w:w="18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成长与协同</w:t>
            </w:r>
          </w:p>
        </w:tc>
        <w:tc>
          <w:tcPr>
            <w:tcW w:type="dxa" w:w="50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产品竞争力、研发能力、产业链价值、合作开放度</w:t>
            </w:r>
          </w:p>
        </w:tc>
        <w:tc>
          <w:tcPr>
            <w:tcW w:type="dxa" w:w="25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科技 / 产业链匹配</w:t>
            </w:r>
          </w:p>
        </w:tc>
      </w:tr>
      <w:tr>
        <w:trPr>
          <w:trHeight w:hRule="atLeast"/>
        </w:trPr>
        <w:tc>
          <w:tcPr>
            <w:tcW w:type="dxa" w:w="18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风险与合规</w:t>
            </w:r>
          </w:p>
        </w:tc>
        <w:tc>
          <w:tcPr>
            <w:tcW w:type="dxa" w:w="50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重大诉讼、失信、异常经营、数据与跨境合规等</w:t>
            </w:r>
          </w:p>
        </w:tc>
        <w:tc>
          <w:tcPr>
            <w:tcW w:type="dxa" w:w="25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决定升级审查或暂缓</w:t>
            </w:r>
          </w:p>
        </w:tc>
      </w:tr>
    </w:tbl>
    <w:p>
      <w:pPr>
        <w:spacing w:after="40"/>
        <w:keepLines w:val="1"/>
      </w:pPr>
    </w:p>
    <w:tbl>
      <w:tblPr>
        <w:tblW w:type="dxa" w:w="9360"/>
        <w:jc w:val="left"/>
        <w:tblLayout w:type="fixed"/>
        <w:tblLook w:firstColumn="1" w:firstRow="1" w:lastColumn="0" w:lastRow="0" w:noHBand="0" w:noVBand="1" w:val="04A0"/>
        <w:tblInd w:w="120" w:type="dxa"/>
        <w:tblBorders>
          <w:top w:val="single" w:sz="2" w:space="0" w:color="FFF4D6"/>
          <w:left w:val="single" w:sz="2" w:space="0" w:color="FFF4D6"/>
          <w:bottom w:val="single" w:sz="2" w:space="0" w:color="FFF4D6"/>
          <w:right w:val="single" w:sz="2" w:space="0" w:color="FFF4D6"/>
          <w:insideH w:val="single" w:sz="2" w:space="0" w:color="FFF4D6"/>
          <w:insideV w:val="single" w:sz="2" w:space="0" w:color="FFF4D6"/>
        </w:tblBorders>
      </w:tblPr>
      <w:tblGrid>
        <w:gridCol w:w="9360"/>
      </w:tblGrid>
      <w:tr>
        <w:trPr>
          <w:trHeight w:hRule="atLeast"/>
          <w:tblHeader w:val="true"/>
        </w:trPr>
        <w:tc>
          <w:tcPr>
            <w:tcW w:type="dxa" w:w="9360"/>
            <w:tcMar>
              <w:top w:w="80" w:type="dxa"/>
              <w:start w:w="120" w:type="dxa"/>
              <w:bottom w:w="80" w:type="dxa"/>
              <w:end w:w="120" w:type="dxa"/>
            </w:tcMar>
            <w:vAlign w:val="center"/>
            <w:shd w:fill="FFF4D6" w:val="clear"/>
          </w:tcPr>
          <w:p>
            <w:pPr>
              <w:spacing w:after="0"/>
              <w:keepLines w:val="1"/>
            </w:pPr>
            <w:r>
              <w:rPr>
                <w:rFonts w:ascii="Arial Unicode MS" w:hAnsi="Arial Unicode MS" w:eastAsia="Arial Unicode MS"/>
                <w:b/>
                <w:color w:val="1F4D78"/>
                <w:sz w:val="22"/>
              </w:rPr>
              <w:t xml:space="preserve">分层不等于授信评级  </w:t>
            </w:r>
            <w:r>
              <w:rPr>
                <w:rFonts w:ascii="Arial Unicode MS" w:hAnsi="Arial Unicode MS" w:eastAsia="Arial Unicode MS"/>
                <w:color w:val="1F2937"/>
                <w:sz w:val="22"/>
              </w:rPr>
              <w:t>A/B/C 仅用于活动组织与跟进优先级，不代表银行授信等级、审批结果或企业价值判断。</w:t>
            </w:r>
          </w:p>
        </w:tc>
      </w:tr>
    </w:tbl>
    <w:p>
      <w:pPr>
        <w:spacing w:after="40"/>
        <w:keepLines w:val="1"/>
      </w:pPr>
    </w:p>
    <w:p>
      <w:pPr>
        <w:pStyle w:val="Heading1"/>
        <w:keepLines w:val="1"/>
      </w:pPr>
      <w:r>
        <w:rPr>
          <w:rFonts w:ascii="Arial Unicode MS" w:hAnsi="Arial Unicode MS" w:eastAsia="Arial Unicode MS"/>
          <w:b/>
          <w:color w:val="2E74B5"/>
          <w:sz w:val="32"/>
        </w:rPr>
        <w:t>八、目标指标与评估机制</w:t>
      </w:r>
    </w:p>
    <w:p>
      <w:pPr>
        <w:spacing w:after="120"/>
        <w:keepLines w:val="1"/>
      </w:pPr>
      <w:r>
        <w:rPr>
          <w:rFonts w:ascii="Arial Unicode MS" w:hAnsi="Arial Unicode MS" w:eastAsia="Arial Unicode MS"/>
          <w:color w:val="1F2937"/>
          <w:sz w:val="22"/>
        </w:rPr>
        <w:t>以下为示范周期建议目标，正式数值由联合工作组在首场活动前确认。指标强调“有效服务与按时反馈”，避免以单一贷款金额评价项目。</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3500"/>
        <w:gridCol w:w="4060"/>
      </w:tblGrid>
      <w:tr>
        <w:trPr>
          <w:trHeight w:hRule="atLeast"/>
          <w:tblHeader w:val="true"/>
        </w:trPr>
        <w:tc>
          <w:tcPr>
            <w:tcW w:type="dxa" w:w="180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7"/>
              </w:rPr>
              <w:t>维度</w:t>
            </w:r>
          </w:p>
        </w:tc>
        <w:tc>
          <w:tcPr>
            <w:tcW w:type="dxa" w:w="350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7"/>
              </w:rPr>
              <w:t>建议指标（8—12 月）</w:t>
            </w:r>
          </w:p>
        </w:tc>
        <w:tc>
          <w:tcPr>
            <w:tcW w:type="dxa" w:w="406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7"/>
              </w:rPr>
              <w:t>统计口径</w:t>
            </w:r>
          </w:p>
        </w:tc>
      </w:tr>
      <w:tr>
        <w:trPr>
          <w:trHeight w:hRule="atLeast"/>
        </w:trPr>
        <w:tc>
          <w:tcPr>
            <w:tcW w:type="dxa" w:w="18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活动覆盖</w:t>
            </w:r>
          </w:p>
        </w:tc>
        <w:tc>
          <w:tcPr>
            <w:tcW w:type="dxa" w:w="35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5 场旗舰活动；累计参会企业不少于 100 家次</w:t>
            </w:r>
          </w:p>
        </w:tc>
        <w:tc>
          <w:tcPr>
            <w:tcW w:type="dxa" w:w="40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签到且完成基本信息核验</w:t>
            </w:r>
          </w:p>
        </w:tc>
      </w:tr>
      <w:tr>
        <w:trPr>
          <w:trHeight w:hRule="atLeast"/>
        </w:trPr>
        <w:tc>
          <w:tcPr>
            <w:tcW w:type="dxa" w:w="18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企业沉淀</w:t>
            </w:r>
          </w:p>
        </w:tc>
        <w:tc>
          <w:tcPr>
            <w:tcW w:type="dxa" w:w="35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形成不少于 80 家有效企业档案</w:t>
            </w:r>
          </w:p>
        </w:tc>
        <w:tc>
          <w:tcPr>
            <w:tcW w:type="dxa" w:w="40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获得授权且核心字段完整</w:t>
            </w:r>
          </w:p>
        </w:tc>
      </w:tr>
      <w:tr>
        <w:trPr>
          <w:trHeight w:hRule="atLeast"/>
        </w:trPr>
        <w:tc>
          <w:tcPr>
            <w:tcW w:type="dxa" w:w="18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需求识别</w:t>
            </w:r>
          </w:p>
        </w:tc>
        <w:tc>
          <w:tcPr>
            <w:tcW w:type="dxa" w:w="35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形成不少于 50 项有效需求</w:t>
            </w:r>
          </w:p>
        </w:tc>
        <w:tc>
          <w:tcPr>
            <w:tcW w:type="dxa" w:w="40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问题、目标、责任人、时限至少四项明确</w:t>
            </w:r>
          </w:p>
        </w:tc>
      </w:tr>
      <w:tr>
        <w:trPr>
          <w:trHeight w:hRule="atLeast"/>
        </w:trPr>
        <w:tc>
          <w:tcPr>
            <w:tcW w:type="dxa" w:w="18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助贷助融</w:t>
            </w:r>
          </w:p>
        </w:tc>
        <w:tc>
          <w:tcPr>
            <w:tcW w:type="dxa" w:w="35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不少于 30 家进入正式沟通或合规转介</w:t>
            </w:r>
          </w:p>
        </w:tc>
        <w:tc>
          <w:tcPr>
            <w:tcW w:type="dxa" w:w="40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产生可验证的受理、补件、转介或反馈记录</w:t>
            </w:r>
          </w:p>
        </w:tc>
      </w:tr>
      <w:tr>
        <w:trPr>
          <w:trHeight w:hRule="atLeast"/>
        </w:trPr>
        <w:tc>
          <w:tcPr>
            <w:tcW w:type="dxa" w:w="18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出海支持</w:t>
            </w:r>
          </w:p>
        </w:tc>
        <w:tc>
          <w:tcPr>
            <w:tcW w:type="dxa" w:w="35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不少于 15 家进入专项服务</w:t>
            </w:r>
          </w:p>
        </w:tc>
        <w:tc>
          <w:tcPr>
            <w:tcW w:type="dxa" w:w="40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国际业务或专业服务伙伴首次反馈完成</w:t>
            </w:r>
          </w:p>
        </w:tc>
      </w:tr>
      <w:tr>
        <w:trPr>
          <w:trHeight w:hRule="atLeast"/>
        </w:trPr>
        <w:tc>
          <w:tcPr>
            <w:tcW w:type="dxa" w:w="18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科技链接</w:t>
            </w:r>
          </w:p>
        </w:tc>
        <w:tc>
          <w:tcPr>
            <w:tcW w:type="dxa" w:w="35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不少于 20 项供需匹配；不少于 5 项进入验证 / 洽谈</w:t>
            </w:r>
          </w:p>
        </w:tc>
        <w:tc>
          <w:tcPr>
            <w:tcW w:type="dxa" w:w="40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双方确认对接且形成后续动作</w:t>
            </w:r>
          </w:p>
        </w:tc>
      </w:tr>
      <w:tr>
        <w:trPr>
          <w:trHeight w:hRule="atLeast"/>
        </w:trPr>
        <w:tc>
          <w:tcPr>
            <w:tcW w:type="dxa" w:w="18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服务时效</w:t>
            </w:r>
          </w:p>
        </w:tc>
        <w:tc>
          <w:tcPr>
            <w:tcW w:type="dxa" w:w="35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任务分派率 100%；10 日首次反馈率不低于 90%</w:t>
            </w:r>
          </w:p>
        </w:tc>
        <w:tc>
          <w:tcPr>
            <w:tcW w:type="dxa" w:w="40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以任务台账时间戳统计</w:t>
            </w:r>
          </w:p>
        </w:tc>
      </w:tr>
      <w:tr>
        <w:trPr>
          <w:trHeight w:hRule="atLeast"/>
        </w:trPr>
        <w:tc>
          <w:tcPr>
            <w:tcW w:type="dxa" w:w="18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活动质量</w:t>
            </w:r>
          </w:p>
        </w:tc>
        <w:tc>
          <w:tcPr>
            <w:tcW w:type="dxa" w:w="35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满意度不低于 90%；有效建议闭环率不低于 80%</w:t>
            </w:r>
          </w:p>
        </w:tc>
        <w:tc>
          <w:tcPr>
            <w:tcW w:type="dxa" w:w="40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活动问卷及改进台账</w:t>
            </w:r>
          </w:p>
        </w:tc>
      </w:tr>
    </w:tbl>
    <w:p>
      <w:pPr>
        <w:spacing w:after="40"/>
        <w:keepLines w:val="1"/>
      </w:pPr>
    </w:p>
    <w:p>
      <w:pPr>
        <w:pStyle w:val="Heading1"/>
        <w:keepLines w:val="1"/>
      </w:pPr>
      <w:r>
        <w:rPr>
          <w:rFonts w:ascii="Arial Unicode MS" w:hAnsi="Arial Unicode MS" w:eastAsia="Arial Unicode MS"/>
          <w:b/>
          <w:color w:val="2E74B5"/>
          <w:sz w:val="32"/>
        </w:rPr>
        <w:t>九、风险控制与合规要求</w:t>
      </w:r>
    </w:p>
    <w:p>
      <w:pPr>
        <w:numPr>
          <w:ilvl w:val="0"/>
          <w:numId w:val="10"/>
        </w:numPr>
        <w:spacing w:after="160" w:line="280" w:lineRule="auto"/>
        <w:keepLines w:val="1"/>
      </w:pPr>
      <w:r>
        <w:rPr>
          <w:rFonts w:ascii="Arial Unicode MS" w:hAnsi="Arial Unicode MS" w:eastAsia="Arial Unicode MS"/>
          <w:color w:val="1F2937"/>
          <w:sz w:val="22"/>
        </w:rPr>
        <w:t>授信独立：任何单位、专家或活动人员不得代替银行作授信判断，不得承诺额度、价格、期限或放款。</w:t>
      </w:r>
    </w:p>
    <w:p>
      <w:pPr>
        <w:numPr>
          <w:ilvl w:val="0"/>
          <w:numId w:val="10"/>
        </w:numPr>
        <w:spacing w:after="160" w:line="280" w:lineRule="auto"/>
        <w:keepLines w:val="1"/>
      </w:pPr>
      <w:r>
        <w:rPr>
          <w:rFonts w:ascii="Arial Unicode MS" w:hAnsi="Arial Unicode MS" w:eastAsia="Arial Unicode MS"/>
          <w:color w:val="1F2937"/>
          <w:sz w:val="22"/>
        </w:rPr>
        <w:t>数据最小化：只收集完成报名、匹配和服务所必需的信息；融资、账户、征信等敏感材料须通过银行认可的渠道提交。</w:t>
      </w:r>
    </w:p>
    <w:p>
      <w:pPr>
        <w:numPr>
          <w:ilvl w:val="0"/>
          <w:numId w:val="10"/>
        </w:numPr>
        <w:spacing w:after="160" w:line="280" w:lineRule="auto"/>
        <w:keepLines w:val="1"/>
      </w:pPr>
      <w:r>
        <w:rPr>
          <w:rFonts w:ascii="Arial Unicode MS" w:hAnsi="Arial Unicode MS" w:eastAsia="Arial Unicode MS"/>
          <w:color w:val="1F2937"/>
          <w:sz w:val="22"/>
        </w:rPr>
        <w:t>授权可撤回：企业应知悉数据用途、接收方和保存期限，可按约定撤回后续非必要使用。</w:t>
      </w:r>
    </w:p>
    <w:p>
      <w:pPr>
        <w:numPr>
          <w:ilvl w:val="0"/>
          <w:numId w:val="10"/>
        </w:numPr>
        <w:spacing w:after="160" w:line="280" w:lineRule="auto"/>
        <w:keepLines w:val="1"/>
      </w:pPr>
      <w:r>
        <w:rPr>
          <w:rFonts w:ascii="Arial Unicode MS" w:hAnsi="Arial Unicode MS" w:eastAsia="Arial Unicode MS"/>
          <w:color w:val="1F2937"/>
          <w:sz w:val="22"/>
        </w:rPr>
        <w:t>宣传审查：银行名称、标识、产品和案例对外发布前，应由泰隆银行指定窗口确认；技术案例还应取得企业授权。</w:t>
      </w:r>
    </w:p>
    <w:p>
      <w:pPr>
        <w:numPr>
          <w:ilvl w:val="0"/>
          <w:numId w:val="10"/>
        </w:numPr>
        <w:spacing w:after="160" w:line="280" w:lineRule="auto"/>
        <w:keepLines w:val="1"/>
      </w:pPr>
      <w:r>
        <w:rPr>
          <w:rFonts w:ascii="Arial Unicode MS" w:hAnsi="Arial Unicode MS" w:eastAsia="Arial Unicode MS"/>
          <w:color w:val="1F2937"/>
          <w:sz w:val="22"/>
        </w:rPr>
        <w:t>利益冲突：生态伙伴须披露收费与商业关系，不得借活动强制捆绑服务或开展不透明收费。</w:t>
      </w:r>
    </w:p>
    <w:p>
      <w:pPr>
        <w:numPr>
          <w:ilvl w:val="0"/>
          <w:numId w:val="10"/>
        </w:numPr>
        <w:spacing w:after="160" w:line="280" w:lineRule="auto"/>
        <w:keepLines w:val="1"/>
      </w:pPr>
      <w:r>
        <w:rPr>
          <w:rFonts w:ascii="Arial Unicode MS" w:hAnsi="Arial Unicode MS" w:eastAsia="Arial Unicode MS"/>
          <w:color w:val="1F2937"/>
          <w:sz w:val="22"/>
        </w:rPr>
        <w:t>活动安全：企业现场参访须遵守安全生产、商业秘密、知识产权、摄影和访客管理要求。</w:t>
      </w:r>
    </w:p>
    <w:p>
      <w:pPr>
        <w:numPr>
          <w:ilvl w:val="0"/>
          <w:numId w:val="10"/>
        </w:numPr>
        <w:spacing w:after="160" w:line="280" w:lineRule="auto"/>
        <w:keepLines w:val="1"/>
      </w:pPr>
      <w:r>
        <w:rPr>
          <w:rFonts w:ascii="Arial Unicode MS" w:hAnsi="Arial Unicode MS" w:eastAsia="Arial Unicode MS"/>
          <w:color w:val="1F2937"/>
          <w:sz w:val="22"/>
        </w:rPr>
        <w:t>廉洁与公平：企业入选以主题适配和需求准备度为主，不以赞助、礼品或非公开关系交换服务机会。</w:t>
      </w:r>
    </w:p>
    <w:p>
      <w:pPr>
        <w:pStyle w:val="Heading1"/>
        <w:keepLines w:val="1"/>
      </w:pPr>
      <w:r>
        <w:rPr>
          <w:rFonts w:ascii="Arial Unicode MS" w:hAnsi="Arial Unicode MS" w:eastAsia="Arial Unicode MS"/>
          <w:b/>
          <w:color w:val="2E74B5"/>
          <w:sz w:val="32"/>
        </w:rPr>
        <w:t>十、配套执行材料</w:t>
      </w:r>
    </w:p>
    <w:p>
      <w:pPr>
        <w:pStyle w:val="Heading2"/>
        <w:keepLines w:val="1"/>
      </w:pPr>
      <w:r>
        <w:rPr>
          <w:rFonts w:ascii="Arial Unicode MS" w:hAnsi="Arial Unicode MS" w:eastAsia="Arial Unicode MS"/>
          <w:b/>
          <w:color w:val="2E74B5"/>
          <w:sz w:val="26"/>
        </w:rPr>
        <w:t>附件 1｜企业报名与需求表（模板）</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100"/>
        <w:gridCol w:w="7260"/>
      </w:tblGrid>
      <w:tr>
        <w:trPr>
          <w:trHeight w:hRule="atLeast"/>
          <w:tblHeader w:val="true"/>
        </w:trPr>
        <w:tc>
          <w:tcPr>
            <w:tcW w:type="dxa" w:w="210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7"/>
              </w:rPr>
              <w:t>字段</w:t>
            </w:r>
          </w:p>
        </w:tc>
        <w:tc>
          <w:tcPr>
            <w:tcW w:type="dxa" w:w="726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7"/>
              </w:rPr>
              <w:t>填写内容</w:t>
            </w:r>
          </w:p>
        </w:tc>
      </w:tr>
      <w:tr>
        <w:trPr>
          <w:trHeight w:hRule="atLeast"/>
        </w:trPr>
        <w:tc>
          <w:tcPr>
            <w:tcW w:type="dxa" w:w="21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企业基本信息</w:t>
            </w:r>
          </w:p>
        </w:tc>
        <w:tc>
          <w:tcPr>
            <w:tcW w:type="dxa" w:w="72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企业名称、统一社会信用代码、成立时间、注册地址、主要经营地、所属行业</w:t>
            </w:r>
          </w:p>
        </w:tc>
      </w:tr>
      <w:tr>
        <w:trPr>
          <w:trHeight w:hRule="atLeast"/>
        </w:trPr>
        <w:tc>
          <w:tcPr>
            <w:tcW w:type="dxa" w:w="21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联系人</w:t>
            </w:r>
          </w:p>
        </w:tc>
        <w:tc>
          <w:tcPr>
            <w:tcW w:type="dxa" w:w="72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姓名、职务、手机、邮箱；是否为本项目内部负责人</w:t>
            </w:r>
          </w:p>
        </w:tc>
      </w:tr>
      <w:tr>
        <w:trPr>
          <w:trHeight w:hRule="atLeast"/>
        </w:trPr>
        <w:tc>
          <w:tcPr>
            <w:tcW w:type="dxa" w:w="21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经营概况</w:t>
            </w:r>
          </w:p>
        </w:tc>
        <w:tc>
          <w:tcPr>
            <w:tcW w:type="dxa" w:w="72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核心产品 / 服务、主要客户类型、员工规模区间、当前发展阶段</w:t>
            </w:r>
          </w:p>
        </w:tc>
      </w:tr>
      <w:tr>
        <w:trPr>
          <w:trHeight w:hRule="atLeast"/>
        </w:trPr>
        <w:tc>
          <w:tcPr>
            <w:tcW w:type="dxa" w:w="21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助贷助融需求</w:t>
            </w:r>
          </w:p>
        </w:tc>
        <w:tc>
          <w:tcPr>
            <w:tcW w:type="dxa" w:w="72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资金用途、金额区间、使用期限、期望时点、已有沟通情况；可不在报名阶段提交敏感材料</w:t>
            </w:r>
          </w:p>
        </w:tc>
      </w:tr>
      <w:tr>
        <w:trPr>
          <w:trHeight w:hRule="atLeast"/>
        </w:trPr>
        <w:tc>
          <w:tcPr>
            <w:tcW w:type="dxa" w:w="21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出海需求</w:t>
            </w:r>
          </w:p>
        </w:tc>
        <w:tc>
          <w:tcPr>
            <w:tcW w:type="dxa" w:w="72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目标国家 / 地区、业务模式、交易币种、当前阶段、主要难点</w:t>
            </w:r>
          </w:p>
        </w:tc>
      </w:tr>
      <w:tr>
        <w:trPr>
          <w:trHeight w:hRule="atLeast"/>
        </w:trPr>
        <w:tc>
          <w:tcPr>
            <w:tcW w:type="dxa" w:w="21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科技链接需求</w:t>
            </w:r>
          </w:p>
        </w:tc>
        <w:tc>
          <w:tcPr>
            <w:tcW w:type="dxa" w:w="72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技术难题、成果转化、场景、采购、供应链或数字化改造需求</w:t>
            </w:r>
          </w:p>
        </w:tc>
      </w:tr>
      <w:tr>
        <w:trPr>
          <w:trHeight w:hRule="atLeast"/>
        </w:trPr>
        <w:tc>
          <w:tcPr>
            <w:tcW w:type="dxa" w:w="21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希望参访主题</w:t>
            </w:r>
          </w:p>
        </w:tc>
        <w:tc>
          <w:tcPr>
            <w:tcW w:type="dxa" w:w="72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8—12 月主题选择；可多选并说明优先级</w:t>
            </w:r>
          </w:p>
        </w:tc>
      </w:tr>
      <w:tr>
        <w:trPr>
          <w:trHeight w:hRule="atLeast"/>
        </w:trPr>
        <w:tc>
          <w:tcPr>
            <w:tcW w:type="dxa" w:w="21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授权确认</w:t>
            </w:r>
          </w:p>
        </w:tc>
        <w:tc>
          <w:tcPr>
            <w:tcW w:type="dxa" w:w="72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同意主办与合作方在本项目范围内使用必要信息进行筛选、匹配和跟进；宣传另行授权</w:t>
            </w:r>
          </w:p>
        </w:tc>
      </w:tr>
    </w:tbl>
    <w:p>
      <w:pPr>
        <w:spacing w:after="40"/>
        <w:keepLines w:val="1"/>
      </w:pPr>
    </w:p>
    <w:p>
      <w:pPr>
        <w:pStyle w:val="Heading2"/>
        <w:keepLines w:val="1"/>
      </w:pPr>
      <w:r>
        <w:rPr>
          <w:rFonts w:ascii="Arial Unicode MS" w:hAnsi="Arial Unicode MS" w:eastAsia="Arial Unicode MS"/>
          <w:b/>
          <w:color w:val="2E74B5"/>
          <w:sz w:val="26"/>
        </w:rPr>
        <w:t>附件 2｜企业服务确认卡（现场使用）</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100"/>
        <w:gridCol w:w="7260"/>
      </w:tblGrid>
      <w:tr>
        <w:trPr>
          <w:trHeight w:hRule="atLeast"/>
          <w:tblHeader w:val="true"/>
        </w:trPr>
        <w:tc>
          <w:tcPr>
            <w:tcW w:type="dxa" w:w="210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8"/>
              </w:rPr>
              <w:t>项目</w:t>
            </w:r>
          </w:p>
        </w:tc>
        <w:tc>
          <w:tcPr>
            <w:tcW w:type="dxa" w:w="726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8"/>
              </w:rPr>
              <w:t>记录内容</w:t>
            </w:r>
          </w:p>
        </w:tc>
      </w:tr>
      <w:tr>
        <w:trPr>
          <w:trHeight w:hRule="atLeast"/>
        </w:trPr>
        <w:tc>
          <w:tcPr>
            <w:tcW w:type="dxa" w:w="21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8"/>
              </w:rPr>
              <w:t>企业 / 对接人</w:t>
            </w:r>
          </w:p>
        </w:tc>
        <w:tc>
          <w:tcPr>
            <w:tcW w:type="dxa" w:w="72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8"/>
              </w:rPr>
              <w:t>____________________________________________</w:t>
            </w:r>
          </w:p>
        </w:tc>
      </w:tr>
      <w:tr>
        <w:trPr>
          <w:trHeight w:hRule="atLeast"/>
        </w:trPr>
        <w:tc>
          <w:tcPr>
            <w:tcW w:type="dxa" w:w="21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8"/>
              </w:rPr>
              <w:t>主通道</w:t>
            </w:r>
          </w:p>
        </w:tc>
        <w:tc>
          <w:tcPr>
            <w:tcW w:type="dxa" w:w="72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8"/>
              </w:rPr>
              <w:t>□ 助贷助融　□ 出海支持　□ 科技链接　□ 综合</w:t>
            </w:r>
          </w:p>
        </w:tc>
      </w:tr>
      <w:tr>
        <w:trPr>
          <w:trHeight w:hRule="atLeast"/>
        </w:trPr>
        <w:tc>
          <w:tcPr>
            <w:tcW w:type="dxa" w:w="21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8"/>
              </w:rPr>
              <w:t>核心需求</w:t>
            </w:r>
          </w:p>
        </w:tc>
        <w:tc>
          <w:tcPr>
            <w:tcW w:type="dxa" w:w="72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8"/>
              </w:rPr>
              <w:t>____________________________________________</w:t>
            </w:r>
          </w:p>
        </w:tc>
      </w:tr>
      <w:tr>
        <w:trPr>
          <w:trHeight w:hRule="atLeast"/>
        </w:trPr>
        <w:tc>
          <w:tcPr>
            <w:tcW w:type="dxa" w:w="21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8"/>
              </w:rPr>
              <w:t>本次确认事项</w:t>
            </w:r>
          </w:p>
        </w:tc>
        <w:tc>
          <w:tcPr>
            <w:tcW w:type="dxa" w:w="72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8"/>
              </w:rPr>
              <w:t>____________________________________________</w:t>
            </w:r>
          </w:p>
        </w:tc>
      </w:tr>
      <w:tr>
        <w:trPr>
          <w:trHeight w:hRule="atLeast"/>
        </w:trPr>
        <w:tc>
          <w:tcPr>
            <w:tcW w:type="dxa" w:w="21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8"/>
              </w:rPr>
              <w:t>需补充材料</w:t>
            </w:r>
          </w:p>
        </w:tc>
        <w:tc>
          <w:tcPr>
            <w:tcW w:type="dxa" w:w="72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8"/>
              </w:rPr>
              <w:t>____________________________________________</w:t>
            </w:r>
          </w:p>
        </w:tc>
      </w:tr>
      <w:tr>
        <w:trPr>
          <w:trHeight w:hRule="atLeast"/>
        </w:trPr>
        <w:tc>
          <w:tcPr>
            <w:tcW w:type="dxa" w:w="21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8"/>
              </w:rPr>
              <w:t>主责任人 / 协同人</w:t>
            </w:r>
          </w:p>
        </w:tc>
        <w:tc>
          <w:tcPr>
            <w:tcW w:type="dxa" w:w="72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8"/>
              </w:rPr>
              <w:t>____________________________________________</w:t>
            </w:r>
          </w:p>
        </w:tc>
      </w:tr>
      <w:tr>
        <w:trPr>
          <w:trHeight w:hRule="atLeast"/>
        </w:trPr>
        <w:tc>
          <w:tcPr>
            <w:tcW w:type="dxa" w:w="21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8"/>
              </w:rPr>
              <w:t>首次反馈日期</w:t>
            </w:r>
          </w:p>
        </w:tc>
        <w:tc>
          <w:tcPr>
            <w:tcW w:type="dxa" w:w="72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8"/>
              </w:rPr>
              <w:t>______年____月____日</w:t>
            </w:r>
          </w:p>
        </w:tc>
      </w:tr>
      <w:tr>
        <w:trPr>
          <w:trHeight w:hRule="atLeast"/>
        </w:trPr>
        <w:tc>
          <w:tcPr>
            <w:tcW w:type="dxa" w:w="21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8"/>
              </w:rPr>
              <w:t>信息与宣传授权</w:t>
            </w:r>
          </w:p>
        </w:tc>
        <w:tc>
          <w:tcPr>
            <w:tcW w:type="dxa" w:w="72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8"/>
              </w:rPr>
              <w:t>□ 仅内部服务使用　□ 可匿名汇总　□ 另行确认对外案例</w:t>
            </w:r>
          </w:p>
        </w:tc>
      </w:tr>
    </w:tbl>
    <w:p>
      <w:pPr>
        <w:spacing w:after="40"/>
        <w:keepLines w:val="1"/>
      </w:pPr>
    </w:p>
    <w:p>
      <w:pPr>
        <w:pStyle w:val="Heading2"/>
        <w:keepLines w:val="1"/>
      </w:pPr>
      <w:r>
        <w:rPr>
          <w:rFonts w:ascii="Arial Unicode MS" w:hAnsi="Arial Unicode MS" w:eastAsia="Arial Unicode MS"/>
          <w:b/>
          <w:color w:val="2E74B5"/>
          <w:sz w:val="26"/>
        </w:rPr>
        <w:t>附件 3｜活动执行检查表</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200"/>
        <w:gridCol w:w="6000"/>
        <w:gridCol w:w="2160"/>
      </w:tblGrid>
      <w:tr>
        <w:trPr>
          <w:trHeight w:hRule="atLeast"/>
          <w:tblHeader w:val="true"/>
        </w:trPr>
        <w:tc>
          <w:tcPr>
            <w:tcW w:type="dxa" w:w="120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7"/>
              </w:rPr>
              <w:t>节点</w:t>
            </w:r>
          </w:p>
        </w:tc>
        <w:tc>
          <w:tcPr>
            <w:tcW w:type="dxa" w:w="600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7"/>
              </w:rPr>
              <w:t>检查事项</w:t>
            </w:r>
          </w:p>
        </w:tc>
        <w:tc>
          <w:tcPr>
            <w:tcW w:type="dxa" w:w="216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7"/>
              </w:rPr>
              <w:t>完成 / 责任人</w:t>
            </w:r>
          </w:p>
        </w:tc>
      </w:tr>
      <w:tr>
        <w:trPr>
          <w:trHeight w:hRule="atLeast"/>
        </w:trPr>
        <w:tc>
          <w:tcPr>
            <w:tcW w:type="dxa" w:w="12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T-30</w:t>
            </w:r>
          </w:p>
        </w:tc>
        <w:tc>
          <w:tcPr>
            <w:tcW w:type="dxa" w:w="60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主题、目标、预算、场地、四方项目联系人确认</w:t>
            </w:r>
          </w:p>
        </w:tc>
        <w:tc>
          <w:tcPr>
            <w:tcW w:type="dxa" w:w="21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 __________</w:t>
            </w:r>
          </w:p>
        </w:tc>
      </w:tr>
      <w:tr>
        <w:trPr>
          <w:trHeight w:hRule="atLeast"/>
        </w:trPr>
        <w:tc>
          <w:tcPr>
            <w:tcW w:type="dxa" w:w="12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T-20</w:t>
            </w:r>
          </w:p>
        </w:tc>
        <w:tc>
          <w:tcPr>
            <w:tcW w:type="dxa" w:w="60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邀请函、报名表、数据用途说明发布</w:t>
            </w:r>
          </w:p>
        </w:tc>
        <w:tc>
          <w:tcPr>
            <w:tcW w:type="dxa" w:w="21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 __________</w:t>
            </w:r>
          </w:p>
        </w:tc>
      </w:tr>
      <w:tr>
        <w:trPr>
          <w:trHeight w:hRule="atLeast"/>
        </w:trPr>
        <w:tc>
          <w:tcPr>
            <w:tcW w:type="dxa" w:w="12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T-10</w:t>
            </w:r>
          </w:p>
        </w:tc>
        <w:tc>
          <w:tcPr>
            <w:tcW w:type="dxa" w:w="60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企业分层、席位确认、主讲人与服务席匹配</w:t>
            </w:r>
          </w:p>
        </w:tc>
        <w:tc>
          <w:tcPr>
            <w:tcW w:type="dxa" w:w="21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 __________</w:t>
            </w:r>
          </w:p>
        </w:tc>
      </w:tr>
      <w:tr>
        <w:trPr>
          <w:trHeight w:hRule="atLeast"/>
        </w:trPr>
        <w:tc>
          <w:tcPr>
            <w:tcW w:type="dxa" w:w="12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T-3</w:t>
            </w:r>
          </w:p>
        </w:tc>
        <w:tc>
          <w:tcPr>
            <w:tcW w:type="dxa" w:w="60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议程、主持稿、讲稿、席卡、服务卡、应急方案彩排</w:t>
            </w:r>
          </w:p>
        </w:tc>
        <w:tc>
          <w:tcPr>
            <w:tcW w:type="dxa" w:w="21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 __________</w:t>
            </w:r>
          </w:p>
        </w:tc>
      </w:tr>
      <w:tr>
        <w:trPr>
          <w:trHeight w:hRule="atLeast"/>
        </w:trPr>
        <w:tc>
          <w:tcPr>
            <w:tcW w:type="dxa" w:w="12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T-1</w:t>
            </w:r>
          </w:p>
        </w:tc>
        <w:tc>
          <w:tcPr>
            <w:tcW w:type="dxa" w:w="60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到场确认、设备、网络、摄影与保密边界复核</w:t>
            </w:r>
          </w:p>
        </w:tc>
        <w:tc>
          <w:tcPr>
            <w:tcW w:type="dxa" w:w="21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 __________</w:t>
            </w:r>
          </w:p>
        </w:tc>
      </w:tr>
      <w:tr>
        <w:trPr>
          <w:trHeight w:hRule="atLeast"/>
        </w:trPr>
        <w:tc>
          <w:tcPr>
            <w:tcW w:type="dxa" w:w="12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T 日</w:t>
            </w:r>
          </w:p>
        </w:tc>
        <w:tc>
          <w:tcPr>
            <w:tcW w:type="dxa" w:w="60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签到、机制说明、分组记录、任务核对、问卷回收</w:t>
            </w:r>
          </w:p>
        </w:tc>
        <w:tc>
          <w:tcPr>
            <w:tcW w:type="dxa" w:w="21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 __________</w:t>
            </w:r>
          </w:p>
        </w:tc>
      </w:tr>
      <w:tr>
        <w:trPr>
          <w:trHeight w:hRule="atLeast"/>
        </w:trPr>
        <w:tc>
          <w:tcPr>
            <w:tcW w:type="dxa" w:w="12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T+3</w:t>
            </w:r>
          </w:p>
        </w:tc>
        <w:tc>
          <w:tcPr>
            <w:tcW w:type="dxa" w:w="60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档案、感谢信、任务台账与授权记录归档</w:t>
            </w:r>
          </w:p>
        </w:tc>
        <w:tc>
          <w:tcPr>
            <w:tcW w:type="dxa" w:w="21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 __________</w:t>
            </w:r>
          </w:p>
        </w:tc>
      </w:tr>
      <w:tr>
        <w:trPr>
          <w:trHeight w:hRule="atLeast"/>
        </w:trPr>
        <w:tc>
          <w:tcPr>
            <w:tcW w:type="dxa" w:w="12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T+10</w:t>
            </w:r>
          </w:p>
        </w:tc>
        <w:tc>
          <w:tcPr>
            <w:tcW w:type="dxa" w:w="60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首次反馈完成；逾期事项升级</w:t>
            </w:r>
          </w:p>
        </w:tc>
        <w:tc>
          <w:tcPr>
            <w:tcW w:type="dxa" w:w="21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 __________</w:t>
            </w:r>
          </w:p>
        </w:tc>
      </w:tr>
      <w:tr>
        <w:trPr>
          <w:trHeight w:hRule="atLeast"/>
        </w:trPr>
        <w:tc>
          <w:tcPr>
            <w:tcW w:type="dxa" w:w="12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T+30</w:t>
            </w:r>
          </w:p>
        </w:tc>
        <w:tc>
          <w:tcPr>
            <w:tcW w:type="dxa" w:w="60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闭环复盘、案例授权、下一场改进事项</w:t>
            </w:r>
          </w:p>
        </w:tc>
        <w:tc>
          <w:tcPr>
            <w:tcW w:type="dxa" w:w="21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 __________</w:t>
            </w:r>
          </w:p>
        </w:tc>
      </w:tr>
    </w:tbl>
    <w:p>
      <w:pPr>
        <w:spacing w:after="40"/>
        <w:keepLines w:val="1"/>
      </w:pPr>
    </w:p>
    <w:p>
      <w:pPr>
        <w:pStyle w:val="Heading2"/>
        <w:keepLines w:val="1"/>
      </w:pPr>
      <w:r>
        <w:rPr>
          <w:rFonts w:ascii="Arial Unicode MS" w:hAnsi="Arial Unicode MS" w:eastAsia="Arial Unicode MS"/>
          <w:b/>
          <w:color w:val="2E74B5"/>
          <w:sz w:val="26"/>
        </w:rPr>
        <w:t>附件 4｜服务跟进台账（字段建议）</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200"/>
        <w:gridCol w:w="7160"/>
      </w:tblGrid>
      <w:tr>
        <w:trPr>
          <w:trHeight w:hRule="atLeast"/>
          <w:tblHeader w:val="true"/>
        </w:trPr>
        <w:tc>
          <w:tcPr>
            <w:tcW w:type="dxa" w:w="220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7"/>
              </w:rPr>
              <w:t>字段</w:t>
            </w:r>
          </w:p>
        </w:tc>
        <w:tc>
          <w:tcPr>
            <w:tcW w:type="dxa" w:w="7160"/>
            <w:shd w:fill="F2F4F7" w:val="clear"/>
            <w:vAlign w:val="center"/>
            <w:tcMar>
              <w:top w:w="80" w:type="dxa"/>
              <w:start w:w="120" w:type="dxa"/>
              <w:bottom w:w="80" w:type="dxa"/>
              <w:end w:w="120" w:type="dxa"/>
            </w:tcMar>
          </w:tcPr>
          <w:p>
            <w:pPr>
              <w:pStyle w:val="TableText"/>
              <w:jc w:val="center"/>
              <w:keepLines w:val="1"/>
            </w:pPr>
            <w:r>
              <w:rPr>
                <w:rFonts w:ascii="Arial Unicode MS" w:hAnsi="Arial Unicode MS" w:eastAsia="Arial Unicode MS"/>
                <w:b/>
                <w:color w:val="0B2545"/>
                <w:sz w:val="17"/>
              </w:rPr>
              <w:t>说明</w:t>
            </w:r>
          </w:p>
        </w:tc>
      </w:tr>
      <w:tr>
        <w:trPr>
          <w:trHeight w:hRule="atLeast"/>
        </w:trPr>
        <w:tc>
          <w:tcPr>
            <w:tcW w:type="dxa" w:w="22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任务编号</w:t>
            </w:r>
          </w:p>
        </w:tc>
        <w:tc>
          <w:tcPr>
            <w:tcW w:type="dxa" w:w="71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建议格式：月份-通道-三位序号</w:t>
            </w:r>
          </w:p>
        </w:tc>
      </w:tr>
      <w:tr>
        <w:trPr>
          <w:trHeight w:hRule="atLeast"/>
        </w:trPr>
        <w:tc>
          <w:tcPr>
            <w:tcW w:type="dxa" w:w="22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企业与联系人</w:t>
            </w:r>
          </w:p>
        </w:tc>
        <w:tc>
          <w:tcPr>
            <w:tcW w:type="dxa" w:w="71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仅记录项目必需信息；敏感材料不放在普通共享表</w:t>
            </w:r>
          </w:p>
        </w:tc>
      </w:tr>
      <w:tr>
        <w:trPr>
          <w:trHeight w:hRule="atLeast"/>
        </w:trPr>
        <w:tc>
          <w:tcPr>
            <w:tcW w:type="dxa" w:w="22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需求摘要</w:t>
            </w:r>
          </w:p>
        </w:tc>
        <w:tc>
          <w:tcPr>
            <w:tcW w:type="dxa" w:w="71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一句话说明问题、目标和期望时点</w:t>
            </w:r>
          </w:p>
        </w:tc>
      </w:tr>
      <w:tr>
        <w:trPr>
          <w:trHeight w:hRule="atLeast"/>
        </w:trPr>
        <w:tc>
          <w:tcPr>
            <w:tcW w:type="dxa" w:w="22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通道 / 分级</w:t>
            </w:r>
          </w:p>
        </w:tc>
        <w:tc>
          <w:tcPr>
            <w:tcW w:type="dxa" w:w="71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助贷助融 / 出海 / 科技；A/B/C</w:t>
            </w:r>
          </w:p>
        </w:tc>
      </w:tr>
      <w:tr>
        <w:trPr>
          <w:trHeight w:hRule="atLeast"/>
        </w:trPr>
        <w:tc>
          <w:tcPr>
            <w:tcW w:type="dxa" w:w="22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主责 / 协同</w:t>
            </w:r>
          </w:p>
        </w:tc>
        <w:tc>
          <w:tcPr>
            <w:tcW w:type="dxa" w:w="71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一名主责任人，可设置多名协同人</w:t>
            </w:r>
          </w:p>
        </w:tc>
      </w:tr>
      <w:tr>
        <w:trPr>
          <w:trHeight w:hRule="atLeast"/>
        </w:trPr>
        <w:tc>
          <w:tcPr>
            <w:tcW w:type="dxa" w:w="22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节点</w:t>
            </w:r>
          </w:p>
        </w:tc>
        <w:tc>
          <w:tcPr>
            <w:tcW w:type="dxa" w:w="71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已建档 / 已分派 / 已联系 / 待补件 / 办理中 / 转介 / 完成 / 暂缓</w:t>
            </w:r>
          </w:p>
        </w:tc>
      </w:tr>
      <w:tr>
        <w:trPr>
          <w:trHeight w:hRule="atLeast"/>
        </w:trPr>
        <w:tc>
          <w:tcPr>
            <w:tcW w:type="dxa" w:w="22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下一动作与日期</w:t>
            </w:r>
          </w:p>
        </w:tc>
        <w:tc>
          <w:tcPr>
            <w:tcW w:type="dxa" w:w="71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必须可执行、可核验</w:t>
            </w:r>
          </w:p>
        </w:tc>
      </w:tr>
      <w:tr>
        <w:trPr>
          <w:trHeight w:hRule="atLeast"/>
        </w:trPr>
        <w:tc>
          <w:tcPr>
            <w:tcW w:type="dxa" w:w="220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结果与原因</w:t>
            </w:r>
          </w:p>
        </w:tc>
        <w:tc>
          <w:tcPr>
            <w:tcW w:type="dxa" w:w="7160"/>
            <w:shd w:fill="FAFBFC" w:val="clear"/>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完成结果或暂不适配原因；不得记录歧视性标签</w:t>
            </w:r>
          </w:p>
        </w:tc>
      </w:tr>
      <w:tr>
        <w:trPr>
          <w:trHeight w:hRule="atLeast"/>
        </w:trPr>
        <w:tc>
          <w:tcPr>
            <w:tcW w:type="dxa" w:w="220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授权与公开范围</w:t>
            </w:r>
          </w:p>
        </w:tc>
        <w:tc>
          <w:tcPr>
            <w:tcW w:type="dxa" w:w="7160"/>
            <w:tcMar>
              <w:top w:w="80" w:type="dxa"/>
              <w:start w:w="120" w:type="dxa"/>
              <w:bottom w:w="80" w:type="dxa"/>
              <w:end w:w="120" w:type="dxa"/>
            </w:tcMar>
            <w:vAlign w:val="center"/>
          </w:tcPr>
          <w:p>
            <w:pPr>
              <w:pStyle w:val="TableText"/>
              <w:jc w:val="left"/>
              <w:keepLines w:val="1"/>
            </w:pPr>
            <w:r>
              <w:rPr>
                <w:rFonts w:ascii="Arial Unicode MS" w:hAnsi="Arial Unicode MS" w:eastAsia="Arial Unicode MS"/>
                <w:b w:val="0"/>
                <w:color w:val="1F2937"/>
                <w:sz w:val="17"/>
              </w:rPr>
              <w:t>仅内部、可匿名汇总、可对外案例（需书面确认）</w:t>
            </w:r>
          </w:p>
        </w:tc>
      </w:tr>
    </w:tbl>
    <w:p>
      <w:pPr>
        <w:spacing w:after="40"/>
        <w:keepLines w:val="1"/>
      </w:pPr>
    </w:p>
    <w:p>
      <w:pPr>
        <w:pStyle w:val="Heading2"/>
        <w:keepLines w:val="1"/>
      </w:pPr>
      <w:r>
        <w:rPr>
          <w:rFonts w:ascii="Arial Unicode MS" w:hAnsi="Arial Unicode MS" w:eastAsia="Arial Unicode MS"/>
          <w:b/>
          <w:color w:val="2E74B5"/>
          <w:sz w:val="26"/>
        </w:rPr>
        <w:t>附件 5｜企业邀请函（参考文本）</w:t>
      </w:r>
    </w:p>
    <w:tbl>
      <w:tblPr>
        <w:tblW w:type="dxa" w:w="9360"/>
        <w:jc w:val="left"/>
        <w:tblLayout w:type="fixed"/>
        <w:tblLook w:firstColumn="1" w:firstRow="1" w:lastColumn="0" w:lastRow="0" w:noHBand="0" w:noVBand="1" w:val="04A0"/>
        <w:tblInd w:w="120" w:type="dxa"/>
        <w:tblBorders>
          <w:top w:val="single" w:sz="2" w:space="0" w:color="E8EEF5"/>
          <w:left w:val="single" w:sz="2" w:space="0" w:color="E8EEF5"/>
          <w:bottom w:val="single" w:sz="2" w:space="0" w:color="E8EEF5"/>
          <w:right w:val="single" w:sz="2" w:space="0" w:color="E8EEF5"/>
          <w:insideH w:val="single" w:sz="2" w:space="0" w:color="E8EEF5"/>
          <w:insideV w:val="single" w:sz="2" w:space="0" w:color="E8EEF5"/>
        </w:tblBorders>
      </w:tblPr>
      <w:tblGrid>
        <w:gridCol w:w="9360"/>
      </w:tblGrid>
      <w:tr>
        <w:trPr>
          <w:trHeight w:hRule="atLeast"/>
          <w:tblHeader w:val="true"/>
        </w:trPr>
        <w:tc>
          <w:tcPr>
            <w:tcW w:type="dxa" w:w="9360"/>
            <w:tcMar>
              <w:top w:w="80" w:type="dxa"/>
              <w:start w:w="120" w:type="dxa"/>
              <w:bottom w:w="80" w:type="dxa"/>
              <w:end w:w="120" w:type="dxa"/>
            </w:tcMar>
            <w:vAlign w:val="center"/>
            <w:shd w:fill="E8EEF5" w:val="clear"/>
          </w:tcPr>
          <w:p>
            <w:pPr>
              <w:spacing w:after="0"/>
              <w:keepLines w:val="1"/>
            </w:pPr>
            <w:r>
              <w:rPr>
                <w:rFonts w:ascii="Arial Unicode MS" w:hAnsi="Arial Unicode MS" w:eastAsia="Arial Unicode MS"/>
                <w:b/>
                <w:color w:val="1F4D78"/>
                <w:sz w:val="22"/>
              </w:rPr>
              <w:t xml:space="preserve">活动名称  </w:t>
            </w:r>
            <w:r>
              <w:rPr>
                <w:rFonts w:ascii="Arial Unicode MS" w:hAnsi="Arial Unicode MS" w:eastAsia="Arial Unicode MS"/>
                <w:color w:val="1F2937"/>
                <w:sz w:val="22"/>
              </w:rPr>
              <w:t>“科创企业成长伙伴计划”——泰隆银行小微与科技企业主题参访（第 × 期）</w:t>
            </w:r>
          </w:p>
        </w:tc>
      </w:tr>
    </w:tbl>
    <w:p>
      <w:pPr>
        <w:spacing w:after="40"/>
        <w:keepLines w:val="1"/>
      </w:pPr>
    </w:p>
    <w:p>
      <w:pPr>
        <w:spacing w:after="120"/>
        <w:keepLines w:val="1"/>
      </w:pPr>
      <w:r>
        <w:rPr>
          <w:rFonts w:ascii="Arial Unicode MS" w:hAnsi="Arial Unicode MS" w:eastAsia="Arial Unicode MS"/>
          <w:color w:val="1F2937"/>
          <w:sz w:val="22"/>
        </w:rPr>
        <w:t>尊敬的企业负责人：</w:t>
      </w:r>
    </w:p>
    <w:p>
      <w:pPr>
        <w:spacing w:after="120"/>
        <w:keepLines w:val="1"/>
      </w:pPr>
      <w:r>
        <w:rPr>
          <w:rFonts w:ascii="Arial Unicode MS" w:hAnsi="Arial Unicode MS" w:eastAsia="Arial Unicode MS"/>
          <w:color w:val="1F2937"/>
          <w:sz w:val="22"/>
        </w:rPr>
        <w:t>为进一步服务上海小微企业和中小型科技企业发展，复旦大学住房政策研究中心、上海市杨浦区科技企业联合会、上海市科技企业联合会拟与泰隆银行共同开展 2026 年 8—12 月企业参访系列活动。活动将围绕助贷与助融、出海支持、科技链接三个方向，通过主题分享、案例交流、分组问诊和资源匹配，为企业提供可持续的后续服务。</w:t>
      </w:r>
    </w:p>
    <w:p>
      <w:pPr>
        <w:spacing w:after="120"/>
        <w:keepLines w:val="1"/>
      </w:pPr>
      <w:r>
        <w:rPr>
          <w:rFonts w:ascii="Arial Unicode MS" w:hAnsi="Arial Unicode MS" w:eastAsia="Arial Unicode MS"/>
          <w:color w:val="1F2937"/>
          <w:sz w:val="22"/>
        </w:rPr>
        <w:t>本期主题为“【填写主题】”，拟于【日期】在【地点】举行，诚邀贵企业报名参加。为提高对接效率，请于【截止日期】前填写报名与需求表。活动名额将依据主题适配度与需求准备度综合确认。</w:t>
      </w:r>
    </w:p>
    <w:p>
      <w:pPr>
        <w:spacing w:after="120"/>
        <w:keepLines w:val="1"/>
      </w:pPr>
      <w:r>
        <w:rPr>
          <w:rFonts w:ascii="Arial Unicode MS" w:hAnsi="Arial Unicode MS" w:eastAsia="Arial Unicode MS"/>
          <w:color w:val="1F2937"/>
          <w:sz w:val="22"/>
        </w:rPr>
        <w:t>特别说明：本活动不构成任何授信、投资或业务办理承诺；金融业务由银行独立尽调审批。企业信息仅在授权范围内用于本项目筛选、匹配和跟进。</w:t>
      </w:r>
    </w:p>
    <w:p>
      <w:pPr>
        <w:spacing w:after="120"/>
        <w:keepLines w:val="1"/>
      </w:pPr>
      <w:r>
        <w:rPr>
          <w:rFonts w:ascii="Arial Unicode MS" w:hAnsi="Arial Unicode MS" w:eastAsia="Arial Unicode MS"/>
          <w:color w:val="1F2937"/>
          <w:sz w:val="22"/>
        </w:rPr>
        <w:t>联系人：【姓名 / 电话 / 邮箱】</w:t>
      </w:r>
    </w:p>
    <w:p>
      <w:pPr>
        <w:spacing w:after="0"/>
        <w:keepLines w:val="1"/>
      </w:pPr>
      <w:r>
        <w:rPr>
          <w:rFonts w:ascii="Arial Unicode MS" w:hAnsi="Arial Unicode MS" w:eastAsia="Arial Unicode MS"/>
          <w:color w:val="1F2937"/>
          <w:sz w:val="22"/>
        </w:rPr>
        <w:t>复旦大学住房政策研究中心</w:t>
        <w:br/>
        <w:t>上海市杨浦区科技企业联合会</w:t>
        <w:br/>
        <w:t>上海市科技企业联合会</w:t>
        <w:br/>
        <w:t>泰隆银行相关承办机构（以最终确认及盖章版本为准）</w:t>
      </w:r>
    </w:p>
    <w:p>
      <w:pPr>
        <w:pStyle w:val="Heading2"/>
        <w:keepLines w:val="1"/>
      </w:pPr>
      <w:r>
        <w:rPr>
          <w:rFonts w:ascii="Arial Unicode MS" w:hAnsi="Arial Unicode MS" w:eastAsia="Arial Unicode MS"/>
          <w:b/>
          <w:color w:val="2E74B5"/>
          <w:sz w:val="26"/>
        </w:rPr>
        <w:t>附件 6｜主持开场关键口径</w:t>
      </w:r>
    </w:p>
    <w:p>
      <w:pPr>
        <w:numPr>
          <w:ilvl w:val="0"/>
          <w:numId w:val="10"/>
        </w:numPr>
        <w:spacing w:after="160" w:line="280" w:lineRule="auto"/>
        <w:keepLines w:val="1"/>
      </w:pPr>
      <w:r>
        <w:rPr>
          <w:rFonts w:ascii="Arial Unicode MS" w:hAnsi="Arial Unicode MS" w:eastAsia="Arial Unicode MS"/>
          <w:color w:val="1F2937"/>
          <w:sz w:val="22"/>
        </w:rPr>
        <w:t>今天的参访目标，是把企业的真实问题转化为可跟进的服务任务，而不是完成一次泛泛交流。</w:t>
      </w:r>
    </w:p>
    <w:p>
      <w:pPr>
        <w:numPr>
          <w:ilvl w:val="0"/>
          <w:numId w:val="10"/>
        </w:numPr>
        <w:spacing w:after="160" w:line="280" w:lineRule="auto"/>
        <w:keepLines w:val="1"/>
      </w:pPr>
      <w:r>
        <w:rPr>
          <w:rFonts w:ascii="Arial Unicode MS" w:hAnsi="Arial Unicode MS" w:eastAsia="Arial Unicode MS"/>
          <w:color w:val="1F2937"/>
          <w:sz w:val="22"/>
        </w:rPr>
        <w:t>现场设置助贷助融、出海支持、科技链接三个服务方向；每项需求都会明确责任人与首次反馈时间。</w:t>
      </w:r>
    </w:p>
    <w:p>
      <w:pPr>
        <w:numPr>
          <w:ilvl w:val="0"/>
          <w:numId w:val="10"/>
        </w:numPr>
        <w:spacing w:after="160" w:line="280" w:lineRule="auto"/>
        <w:keepLines w:val="1"/>
      </w:pPr>
      <w:r>
        <w:rPr>
          <w:rFonts w:ascii="Arial Unicode MS" w:hAnsi="Arial Unicode MS" w:eastAsia="Arial Unicode MS"/>
          <w:color w:val="1F2937"/>
          <w:sz w:val="22"/>
        </w:rPr>
        <w:t>涉及金融业务的，泰隆银行将依据独立尽调和审批流程办理，现场交流不代表授信承诺。</w:t>
      </w:r>
    </w:p>
    <w:p>
      <w:pPr>
        <w:numPr>
          <w:ilvl w:val="0"/>
          <w:numId w:val="10"/>
        </w:numPr>
        <w:spacing w:after="160" w:line="280" w:lineRule="auto"/>
        <w:keepLines w:val="1"/>
      </w:pPr>
      <w:r>
        <w:rPr>
          <w:rFonts w:ascii="Arial Unicode MS" w:hAnsi="Arial Unicode MS" w:eastAsia="Arial Unicode MS"/>
          <w:color w:val="1F2937"/>
          <w:sz w:val="22"/>
        </w:rPr>
        <w:t>涉及企业敏感经营、技术或跨境信息的，请在授权范围内交流；摄影和案例发布将另行确认。</w:t>
      </w:r>
    </w:p>
    <w:p>
      <w:pPr>
        <w:pStyle w:val="Heading1"/>
        <w:keepLines w:val="1"/>
      </w:pPr>
      <w:r>
        <w:rPr>
          <w:rFonts w:ascii="Arial Unicode MS" w:hAnsi="Arial Unicode MS" w:eastAsia="Arial Unicode MS"/>
          <w:b/>
          <w:color w:val="2E74B5"/>
          <w:sz w:val="32"/>
        </w:rPr>
        <w:t>十一、建议的启动决议</w:t>
      </w:r>
    </w:p>
    <w:p>
      <w:pPr>
        <w:spacing w:after="120"/>
        <w:keepLines w:val="1"/>
      </w:pPr>
      <w:r>
        <w:rPr>
          <w:rFonts w:ascii="Arial Unicode MS" w:hAnsi="Arial Unicode MS" w:eastAsia="Arial Unicode MS"/>
          <w:color w:val="1F2937"/>
          <w:sz w:val="22"/>
        </w:rPr>
        <w:t>建议四方在首次筹备会上形成以下五项书面共识：</w:t>
      </w:r>
    </w:p>
    <w:p>
      <w:pPr>
        <w:numPr>
          <w:ilvl w:val="0"/>
          <w:numId w:val="19"/>
        </w:numPr>
        <w:spacing w:after="160" w:line="280" w:lineRule="auto"/>
        <w:keepLines w:val="1"/>
      </w:pPr>
      <w:r>
        <w:rPr>
          <w:rFonts w:ascii="Arial Unicode MS" w:hAnsi="Arial Unicode MS" w:eastAsia="Arial Unicode MS"/>
          <w:color w:val="1F2937"/>
          <w:sz w:val="22"/>
        </w:rPr>
        <w:t>同意以 2026 年 8—12 月作为示范周期，原则上每月 1 场旗舰活动。</w:t>
      </w:r>
    </w:p>
    <w:p>
      <w:pPr>
        <w:numPr>
          <w:ilvl w:val="0"/>
          <w:numId w:val="19"/>
        </w:numPr>
        <w:spacing w:after="160" w:line="280" w:lineRule="auto"/>
        <w:keepLines w:val="1"/>
      </w:pPr>
      <w:r>
        <w:rPr>
          <w:rFonts w:ascii="Arial Unicode MS" w:hAnsi="Arial Unicode MS" w:eastAsia="Arial Unicode MS"/>
          <w:color w:val="1F2937"/>
          <w:sz w:val="22"/>
        </w:rPr>
        <w:t>各方指定 1 名固定项目联系人，并确认三条服务通道负责人。</w:t>
      </w:r>
    </w:p>
    <w:p>
      <w:pPr>
        <w:numPr>
          <w:ilvl w:val="0"/>
          <w:numId w:val="19"/>
        </w:numPr>
        <w:spacing w:after="160" w:line="280" w:lineRule="auto"/>
        <w:keepLines w:val="1"/>
      </w:pPr>
      <w:r>
        <w:rPr>
          <w:rFonts w:ascii="Arial Unicode MS" w:hAnsi="Arial Unicode MS" w:eastAsia="Arial Unicode MS"/>
          <w:color w:val="1F2937"/>
          <w:sz w:val="22"/>
        </w:rPr>
        <w:t>同意使用统一的企业报名表、服务确认卡和跟进台账。</w:t>
      </w:r>
    </w:p>
    <w:p>
      <w:pPr>
        <w:numPr>
          <w:ilvl w:val="0"/>
          <w:numId w:val="19"/>
        </w:numPr>
        <w:spacing w:after="160" w:line="280" w:lineRule="auto"/>
        <w:keepLines w:val="1"/>
      </w:pPr>
      <w:r>
        <w:rPr>
          <w:rFonts w:ascii="Arial Unicode MS" w:hAnsi="Arial Unicode MS" w:eastAsia="Arial Unicode MS"/>
          <w:color w:val="1F2937"/>
          <w:sz w:val="22"/>
        </w:rPr>
        <w:t>同意执行“3—5—10—30”服务时限，并对逾期事项进行升级协调。</w:t>
      </w:r>
    </w:p>
    <w:p>
      <w:pPr>
        <w:numPr>
          <w:ilvl w:val="0"/>
          <w:numId w:val="19"/>
        </w:numPr>
        <w:spacing w:after="160" w:line="280" w:lineRule="auto"/>
        <w:keepLines w:val="1"/>
      </w:pPr>
      <w:r>
        <w:rPr>
          <w:rFonts w:ascii="Arial Unicode MS" w:hAnsi="Arial Unicode MS" w:eastAsia="Arial Unicode MS"/>
          <w:color w:val="1F2937"/>
          <w:sz w:val="22"/>
        </w:rPr>
        <w:t>同意在合规和企业授权前提下，于 12 月形成年度成果报告及下一周期方案。</w:t>
      </w:r>
    </w:p>
    <w:p>
      <w:pPr>
        <w:pStyle w:val="Heading1"/>
        <w:keepLines w:val="1"/>
      </w:pPr>
      <w:r>
        <w:rPr>
          <w:rFonts w:ascii="Arial Unicode MS" w:hAnsi="Arial Unicode MS" w:eastAsia="Arial Unicode MS"/>
          <w:b/>
          <w:color w:val="2E74B5"/>
          <w:sz w:val="32"/>
        </w:rPr>
        <w:t>附：公开信息依据</w:t>
      </w:r>
    </w:p>
    <w:p>
      <w:pPr>
        <w:spacing w:after="120"/>
        <w:keepLines w:val="1"/>
      </w:pPr>
      <w:r>
        <w:rPr>
          <w:rFonts w:ascii="Arial Unicode MS" w:hAnsi="Arial Unicode MS" w:eastAsia="Arial Unicode MS"/>
          <w:color w:val="1F2937"/>
          <w:sz w:val="22"/>
        </w:rPr>
        <w:t>本方案对泰隆银行定位及业务场景的表述，参考其官方网站公开信息；具体合作范围、产品与办理条件以泰隆银行最终确认为准。</w:t>
      </w:r>
    </w:p>
    <w:p>
      <w:pPr>
        <w:spacing w:after="80"/>
        <w:keepLines w:val="1"/>
      </w:pPr>
      <w:r>
        <w:rPr>
          <w:rFonts w:ascii="Arial Unicode MS" w:hAnsi="Arial Unicode MS" w:eastAsia="Arial Unicode MS"/>
          <w:color w:val="667085"/>
          <w:sz w:val="18"/>
        </w:rPr>
        <w:t>1. 泰隆银行简介：</w:t>
      </w:r>
      <w:hyperlink r:id="rId11">
        <w:r>
          <w:rPr>
            <w:color w:val="2E74B5"/>
            <w:u w:val="single"/>
            <w:rFonts w:ascii="Arial Unicode MS" w:hAnsi="Arial Unicode MS" w:eastAsia="Arial Unicode MS"/>
          </w:rPr>
          <w:t>官方简介页面</w:t>
        </w:r>
      </w:hyperlink>
    </w:p>
    <w:p>
      <w:pPr>
        <w:spacing w:after="80"/>
        <w:keepLines w:val="1"/>
      </w:pPr>
      <w:r>
        <w:rPr>
          <w:rFonts w:ascii="Arial Unicode MS" w:hAnsi="Arial Unicode MS" w:eastAsia="Arial Unicode MS"/>
          <w:color w:val="667085"/>
          <w:sz w:val="18"/>
        </w:rPr>
        <w:t>2. 泰隆银行官方网站（企业业务、国际业务栏目）：</w:t>
      </w:r>
      <w:hyperlink r:id="rId12">
        <w:r>
          <w:rPr>
            <w:color w:val="2E74B5"/>
            <w:u w:val="single"/>
            <w:rFonts w:ascii="Arial Unicode MS" w:hAnsi="Arial Unicode MS" w:eastAsia="Arial Unicode MS"/>
          </w:rPr>
          <w:t>官方网站首页</w:t>
        </w:r>
      </w:hyperlink>
    </w:p>
    <w:p>
      <w:pPr>
        <w:spacing w:after="0"/>
        <w:keepLines w:val="1"/>
      </w:pPr>
      <w:r>
        <w:rPr>
          <w:rFonts w:ascii="Arial Unicode MS" w:hAnsi="Arial Unicode MS" w:eastAsia="Arial Unicode MS"/>
          <w:color w:val="667085"/>
          <w:sz w:val="18"/>
        </w:rPr>
        <w:t>3. 泰隆银行参展 SIBOS 2025 相关公开信息：</w:t>
      </w:r>
      <w:hyperlink r:id="rId13">
        <w:r>
          <w:rPr>
            <w:color w:val="2E74B5"/>
            <w:u w:val="single"/>
            <w:rFonts w:ascii="Arial Unicode MS" w:hAnsi="Arial Unicode MS" w:eastAsia="Arial Unicode MS"/>
          </w:rPr>
          <w:t>官方新闻页面</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Unicode MS" w:hAnsi="Arial Unicode MS" w:eastAsia="Arial Unicode MS"/>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Unicode MS" w:hAnsi="Arial Unicode MS" w:eastAsia="Arial Unicode MS"/>
        <w:color w:val="667085"/>
        <w:sz w:val="18"/>
      </w:rPr>
      <w:t>联合参访计划｜泰隆银行 × 高校智库 × 科企组织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Arial" w:hAnsi="Arial"/>
      </w:rPr>
    </w:lvl>
  </w:abstractNum>
  <w:abstractNum w:abstractNumId="10">
    <w:multiLevelType w:val="singleLevel"/>
    <w:lvl w:ilvl="0">
      <w:start w:val="1"/>
      <w:numFmt w:val="decimal"/>
      <w:lvlText w:val="%1."/>
      <w:suff w:val="tab"/>
      <w:pPr>
        <w:tabs>
          <w:tab w:val="num" w:pos="720"/>
        </w:tabs>
        <w:ind w:left="720" w:hanging="360"/>
        <w:spacing w:after="160" w:line="280" w:lineRule="auto"/>
      </w:pPr>
      <w:rPr>
        <w:rFonts w:ascii="Arial" w:hAnsi="Arial"/>
      </w:rPr>
    </w:lvl>
  </w:abstractNum>
  <w:num w:numId="10">
    <w:abstractNumId w:val="9"/>
  </w: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Unicode MS" w:hAnsi="Arial Unicode MS" w:eastAsia="Arial Unicode MS"/>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Unicode MS" w:hAnsi="Arial Unicode MS"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Unicode MS" w:hAnsi="Arial Unicode MS"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0" w:line="264" w:lineRule="auto"/>
    </w:pPr>
    <w:rPr>
      <w:rFonts w:ascii="Arial Unicode MS" w:hAnsi="Arial Unicode MS" w:eastAsia="Arial Unicode M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zjtlcb.com/zjtlcb/gytl/tljj/" TargetMode="External"/><Relationship Id="rId12" Type="http://schemas.openxmlformats.org/officeDocument/2006/relationships/hyperlink" Target="https://www.zjtlcb.com/" TargetMode="External"/><Relationship Id="rId13" Type="http://schemas.openxmlformats.org/officeDocument/2006/relationships/hyperlink" Target="https://www.zjtlcb.com/zjtlcb/tldt/2025103014572591491/index.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泰隆银行小微与科技企业参访合作计划（2026年8—12月）</dc:title>
  <dc:subject>企业参访计划表、SOP与配套执行材料</dc:subject>
  <dc:creator>联合项目工作组（讨论稿）</dc:creator>
  <cp:keywords>泰隆银行, 小微企业, 企业参访, 助贷助融, 出海支持, 科技链接</cp:keywords>
  <dc:description>本方案为讨论稿，不构成金融业务承诺。</dc:description>
  <cp:lastModifiedBy/>
  <cp:revision>1</cp:revision>
  <dcterms:created xsi:type="dcterms:W3CDTF">2013-12-23T23:15:00Z</dcterms:created>
  <dcterms:modified xsi:type="dcterms:W3CDTF">2013-12-23T23:15:00Z</dcterms:modified>
  <cp:category/>
</cp:coreProperties>
</file>