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318"/>
      </w:tblGrid>
      <w:tr>
        <w:tc>
          <w:tcPr>
            <w:tcW w:type="dxa" w:w="10318"/>
            <w:shd w:fill="142B4A" w:val="clear"/>
            <w:tcBorders>
              <w:top w:val="single" w:sz="0" w:color="142B4A" w:space="0"/>
              <w:left w:val="single" w:sz="0" w:color="142B4A" w:space="0"/>
              <w:bottom w:val="single" w:sz="0" w:color="142B4A" w:space="0"/>
              <w:right w:val="single" w:sz="0" w:color="142B4A" w:space="0"/>
            </w:tcBorders>
            <w:tcMar>
              <w:top w:w="90" w:type="dxa"/>
              <w:left w:w="140" w:type="dxa"/>
              <w:bottom w:w="90" w:type="dxa"/>
              <w:right w:w="140" w:type="dxa"/>
            </w:tcMar>
          </w:tcPr>
          <w:p>
            <w:pPr>
              <w:spacing w:after="0"/>
              <w:jc w:val="left"/>
            </w:pPr>
            <w:r/>
            <w:r>
              <w:rPr>
                <w:rFonts w:ascii="微软雅黑" w:hAnsi="微软雅黑" w:eastAsia="微软雅黑"/>
                <w:b/>
                <w:color w:val="FFFFFF"/>
                <w:sz w:val="44"/>
              </w:rPr>
              <w:t>胡继刚</w:t>
            </w:r>
            <w:r>
              <w:rPr>
                <w:rFonts w:ascii="微软雅黑" w:hAnsi="微软雅黑" w:eastAsia="微软雅黑"/>
                <w:b w:val="0"/>
                <w:color w:val="E8D5A3"/>
                <w:sz w:val="22"/>
              </w:rPr>
              <w:t xml:space="preserve">    HU Jigang</w:t>
            </w:r>
          </w:p>
          <w:p>
            <w:pPr>
              <w:spacing w:before="40" w:after="80"/>
            </w:pPr>
            <w:r>
              <w:rPr>
                <w:rFonts w:ascii="微软雅黑" w:hAnsi="微软雅黑" w:eastAsia="微软雅黑"/>
                <w:b/>
                <w:color w:val="E8D5A3"/>
                <w:sz w:val="24"/>
              </w:rPr>
              <w:t>产业招商  ·  AI 生态运营  ·  国际化资源对接</w:t>
            </w:r>
          </w:p>
          <w:p>
            <w:pPr>
              <w:spacing w:after="20"/>
            </w:pPr>
            <w:r>
              <w:rPr>
                <w:rFonts w:ascii="微软雅黑" w:hAnsi="微软雅黑" w:eastAsia="微软雅黑"/>
                <w:b w:val="0"/>
                <w:color w:val="F0F4F8"/>
                <w:sz w:val="19"/>
              </w:rPr>
              <w:t>复旦大学住房政策研究中心秘书长  ｜  上海市杨浦区科技企业联合会执行会长</w:t>
            </w:r>
          </w:p>
          <w:p>
            <w:pPr>
              <w:spacing w:after="0"/>
            </w:pPr>
            <w:r>
              <w:rPr>
                <w:rFonts w:ascii="微软雅黑" w:hAnsi="微软雅黑" w:eastAsia="微软雅黑"/>
                <w:b w:val="0"/>
                <w:color w:val="C5D0DC"/>
                <w:sz w:val="18"/>
              </w:rPr>
              <w:t>男 ｜ 1987.04 ｜ 上海 ｜ 硕士 ｜ 副教授级高级工程师 ｜ 九三学社 ｜ IELTS 6.0</w:t>
            </w:r>
          </w:p>
          <w:p>
            <w:pPr>
              <w:spacing w:after="0"/>
            </w:pPr>
            <w:r>
              <w:rPr>
                <w:rFonts w:ascii="微软雅黑" w:hAnsi="微软雅黑" w:eastAsia="微软雅黑"/>
                <w:b w:val="0"/>
                <w:color w:val="C5D0DC"/>
                <w:sz w:val="18"/>
              </w:rPr>
              <w:t>18678408669  ｜  262782809@qq.com  ｜  微信 hu262782809</w:t>
            </w:r>
          </w:p>
        </w:tc>
      </w:tr>
    </w:tbl>
    <w:p>
      <w:pPr>
        <w:spacing w:before="160" w:after="40" w:line="269" w:lineRule="auto"/>
      </w:pPr>
      <w:r>
        <w:rPr>
          <w:rFonts w:ascii="微软雅黑" w:hAnsi="微软雅黑" w:eastAsia="微软雅黑"/>
          <w:b/>
          <w:color w:val="C48A2B"/>
          <w:sz w:val="18"/>
        </w:rPr>
        <w:t xml:space="preserve">求职意向  </w:t>
      </w:r>
      <w:r>
        <w:rPr>
          <w:rFonts w:ascii="微软雅黑" w:hAnsi="微软雅黑" w:eastAsia="微软雅黑"/>
          <w:b w:val="0"/>
          <w:color w:val="142B4A"/>
          <w:sz w:val="19"/>
        </w:rPr>
        <w:t>产业招商 / 政府关系 / 国际化业务与出海对接 / AI 与科创生态运营    上海    薪资面议</w:t>
      </w:r>
    </w:p>
    <w:p>
      <w:pPr>
        <w:spacing w:before="160" w:after="20" w:line="269" w:lineRule="auto"/>
      </w:pPr>
      <w:r>
        <w:rPr>
          <w:rFonts w:ascii="微软雅黑" w:hAnsi="微软雅黑" w:eastAsia="微软雅黑"/>
          <w:b/>
          <w:color w:val="142B4A"/>
          <w:sz w:val="24"/>
        </w:rPr>
        <w:t>职业摘要</w:t>
      </w:r>
    </w:p>
    <w:p>
      <w:pPr>
        <w:spacing w:before="0" w:after="80"/>
        <w:pBdr>
          <w:bottom w:val="single" w:sz="14" w:space="1" w:color="C48A2B"/>
        </w:pBdr>
      </w:pPr>
    </w:p>
    <w:p>
      <w:pPr>
        <w:spacing w:before="0" w:after="40" w:line="283" w:lineRule="auto"/>
      </w:pPr>
      <w:r>
        <w:rPr>
          <w:rFonts w:ascii="微软雅黑" w:hAnsi="微软雅黑" w:eastAsia="微软雅黑"/>
          <w:b w:val="0"/>
          <w:color w:val="444C56"/>
          <w:sz w:val="19"/>
        </w:rPr>
        <w:t>土木本科、复旦 MBA，15 年不动产投资拓展与政府资源整合经验，历任中南、新城、万科投资岗至区域投资副总经理，熟悉勾地、轻资产输出、代建、收并购与不良资产「募投管退」。2021 年起任职高校智库秘书长，并以杨浦科企联执行会长身份搭建政产学研平台。近两年公开主持/主办人工智能商业化峰会、中国投资者海外不动产主题活动、北欧创新国际会客厅等，形成「AI 产业化落地 + 企业出海对接 + 政府招商落地」复合能力。</w:t>
      </w:r>
    </w:p>
    <w:p>
      <w:pPr>
        <w:spacing w:before="160" w:after="20" w:line="269" w:lineRule="auto"/>
      </w:pPr>
      <w:r>
        <w:rPr>
          <w:rFonts w:ascii="微软雅黑" w:hAnsi="微软雅黑" w:eastAsia="微软雅黑"/>
          <w:b/>
          <w:color w:val="142B4A"/>
          <w:sz w:val="24"/>
        </w:rPr>
        <w:t>核心优势：AI × 出海 × 招商</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3439"/>
        <w:gridCol w:w="3439"/>
        <w:gridCol w:w="3439"/>
      </w:tblGrid>
      <w:tr>
        <w:tc>
          <w:tcPr>
            <w:tcW w:type="dxa" w:w="3430"/>
            <w:shd w:fill="F4F7FB" w:val="clear"/>
            <w:tcBorders>
              <w:top w:val="single" w:sz="4" w:color="D7DEE8" w:space="0"/>
              <w:left w:val="single" w:sz="4" w:color="D7DEE8" w:space="0"/>
              <w:bottom w:val="single" w:sz="4" w:color="D7DEE8" w:space="0"/>
              <w:right w:val="single" w:sz="4" w:color="D7DEE8" w:space="0"/>
            </w:tcBorders>
            <w:tcMar>
              <w:top w:w="70" w:type="dxa"/>
              <w:left w:w="90" w:type="dxa"/>
              <w:bottom w:w="70" w:type="dxa"/>
              <w:right w:w="90" w:type="dxa"/>
            </w:tcMar>
            <w:vAlign w:val="top"/>
          </w:tcPr>
          <w:p>
            <w:pPr>
              <w:spacing w:after="60"/>
            </w:pPr>
            <w:r/>
            <w:r>
              <w:rPr>
                <w:rFonts w:ascii="微软雅黑" w:hAnsi="微软雅黑" w:eastAsia="微软雅黑"/>
                <w:b/>
                <w:color w:val="0F6B63"/>
                <w:sz w:val="22"/>
              </w:rPr>
              <w:t>▍</w:t>
            </w:r>
            <w:r>
              <w:rPr>
                <w:rFonts w:ascii="微软雅黑" w:hAnsi="微软雅黑" w:eastAsia="微软雅黑"/>
                <w:b/>
                <w:color w:val="142B4A"/>
                <w:sz w:val="20"/>
              </w:rPr>
              <w:t>AI 产业化与生态运营</w:t>
            </w:r>
          </w:p>
          <w:p>
            <w:pPr>
              <w:spacing w:after="40" w:line="259" w:lineRule="auto"/>
            </w:pPr>
            <w:r>
              <w:rPr>
                <w:rFonts w:ascii="微软雅黑" w:hAnsi="微软雅黑" w:eastAsia="微软雅黑"/>
                <w:b w:val="0"/>
                <w:color w:val="444C56"/>
                <w:sz w:val="16"/>
              </w:rPr>
              <w:t>• 2026.05 作为主办方代表参与「人工智能商业化落地与硬核投资破局峰会」（约 600 人），主持「从算力引擎到新质资产」圆桌，提出将峰会升级为陪伴科创企业的超级孵化器。</w:t>
            </w:r>
          </w:p>
          <w:p>
            <w:pPr>
              <w:spacing w:after="40" w:line="259" w:lineRule="auto"/>
            </w:pPr>
            <w:r>
              <w:rPr>
                <w:rFonts w:ascii="微软雅黑" w:hAnsi="微软雅黑" w:eastAsia="微软雅黑"/>
                <w:b w:val="0"/>
                <w:color w:val="444C56"/>
                <w:sz w:val="16"/>
              </w:rPr>
              <w:t>• 2025.05 联合主办全球新经济增长引擎峰会，议程覆盖 AI 产业链重构与中东/亚太出海投资。</w:t>
            </w:r>
          </w:p>
          <w:p>
            <w:pPr>
              <w:spacing w:after="40" w:line="259" w:lineRule="auto"/>
            </w:pPr>
            <w:r>
              <w:rPr>
                <w:rFonts w:ascii="微软雅黑" w:hAnsi="微软雅黑" w:eastAsia="微软雅黑"/>
                <w:b w:val="0"/>
                <w:color w:val="444C56"/>
                <w:sz w:val="16"/>
              </w:rPr>
              <w:t>• 发表《房屋建筑工程人工智能技术的应用》；完成上海交大城市治理数字化转型高研班。</w:t>
            </w:r>
          </w:p>
          <w:p>
            <w:pPr>
              <w:spacing w:after="40" w:line="259" w:lineRule="auto"/>
            </w:pPr>
            <w:r>
              <w:rPr>
                <w:rFonts w:ascii="微软雅黑" w:hAnsi="微软雅黑" w:eastAsia="微软雅黑"/>
                <w:b w:val="0"/>
                <w:color w:val="444C56"/>
                <w:sz w:val="16"/>
              </w:rPr>
              <w:t>• 以科企联执行会长身份服务科技企业评审、对接与成长。</w:t>
            </w:r>
          </w:p>
        </w:tc>
        <w:tc>
          <w:tcPr>
            <w:tcW w:type="dxa" w:w="3430"/>
            <w:shd w:fill="F4F7FB" w:val="clear"/>
            <w:tcBorders>
              <w:top w:val="single" w:sz="4" w:color="D7DEE8" w:space="0"/>
              <w:left w:val="single" w:sz="4" w:color="D7DEE8" w:space="0"/>
              <w:bottom w:val="single" w:sz="4" w:color="D7DEE8" w:space="0"/>
              <w:right w:val="single" w:sz="4" w:color="D7DEE8" w:space="0"/>
            </w:tcBorders>
            <w:tcMar>
              <w:top w:w="70" w:type="dxa"/>
              <w:left w:w="90" w:type="dxa"/>
              <w:bottom w:w="70" w:type="dxa"/>
              <w:right w:w="90" w:type="dxa"/>
            </w:tcMar>
            <w:vAlign w:val="top"/>
          </w:tcPr>
          <w:p>
            <w:pPr>
              <w:spacing w:after="60"/>
            </w:pPr>
            <w:r/>
            <w:r>
              <w:rPr>
                <w:rFonts w:ascii="微软雅黑" w:hAnsi="微软雅黑" w:eastAsia="微软雅黑"/>
                <w:b/>
                <w:color w:val="1D4F91"/>
                <w:sz w:val="22"/>
              </w:rPr>
              <w:t>▍</w:t>
            </w:r>
            <w:r>
              <w:rPr>
                <w:rFonts w:ascii="微软雅黑" w:hAnsi="微软雅黑" w:eastAsia="微软雅黑"/>
                <w:b/>
                <w:color w:val="142B4A"/>
                <w:sz w:val="20"/>
              </w:rPr>
              <w:t>出海与国际化对接</w:t>
            </w:r>
          </w:p>
          <w:p>
            <w:pPr>
              <w:spacing w:after="40" w:line="259" w:lineRule="auto"/>
            </w:pPr>
            <w:r>
              <w:rPr>
                <w:rFonts w:ascii="微软雅黑" w:hAnsi="微软雅黑" w:eastAsia="微软雅黑"/>
                <w:b w:val="0"/>
                <w:color w:val="444C56"/>
                <w:sz w:val="16"/>
              </w:rPr>
              <w:t>• 2024.06 主持「他山之石——中国投资者的海外不动产战略布局」（锦天城 × 复旦住房政策研究中心）。</w:t>
            </w:r>
          </w:p>
          <w:p>
            <w:pPr>
              <w:spacing w:after="40" w:line="259" w:lineRule="auto"/>
            </w:pPr>
            <w:r>
              <w:rPr>
                <w:rFonts w:ascii="微软雅黑" w:hAnsi="微软雅黑" w:eastAsia="微软雅黑"/>
                <w:b w:val="0"/>
                <w:color w:val="444C56"/>
                <w:sz w:val="16"/>
              </w:rPr>
              <w:t>• 2026.03 参与「北欧创新国际会客厅」揭牌，围绕中欧创新合作、科创生态联动与企业国际化交流。</w:t>
            </w:r>
          </w:p>
          <w:p>
            <w:pPr>
              <w:spacing w:after="40" w:line="259" w:lineRule="auto"/>
            </w:pPr>
            <w:r>
              <w:rPr>
                <w:rFonts w:ascii="微软雅黑" w:hAnsi="微软雅黑" w:eastAsia="微软雅黑"/>
                <w:b w:val="0"/>
                <w:color w:val="444C56"/>
                <w:sz w:val="16"/>
              </w:rPr>
              <w:t>• 英语商务洽谈 / IELTS 6.0；早期推进美国养老、日本永旺等国际合作对接。</w:t>
            </w:r>
          </w:p>
          <w:p>
            <w:pPr>
              <w:spacing w:after="40" w:line="259" w:lineRule="auto"/>
            </w:pPr>
            <w:r>
              <w:rPr>
                <w:rFonts w:ascii="微软雅黑" w:hAnsi="微软雅黑" w:eastAsia="微软雅黑"/>
                <w:b w:val="0"/>
                <w:color w:val="444C56"/>
                <w:sz w:val="16"/>
              </w:rPr>
              <w:t>• 能把高校智库、区级科创组织与涉外法务/产业顾问连成可落地的出海对接场。</w:t>
            </w:r>
          </w:p>
        </w:tc>
        <w:tc>
          <w:tcPr>
            <w:tcW w:type="dxa" w:w="3458"/>
            <w:shd w:fill="F4F7FB" w:val="clear"/>
            <w:tcBorders>
              <w:top w:val="single" w:sz="4" w:color="D7DEE8" w:space="0"/>
              <w:left w:val="single" w:sz="4" w:color="D7DEE8" w:space="0"/>
              <w:bottom w:val="single" w:sz="4" w:color="D7DEE8" w:space="0"/>
              <w:right w:val="single" w:sz="4" w:color="D7DEE8" w:space="0"/>
            </w:tcBorders>
            <w:tcMar>
              <w:top w:w="70" w:type="dxa"/>
              <w:left w:w="90" w:type="dxa"/>
              <w:bottom w:w="70" w:type="dxa"/>
              <w:right w:w="90" w:type="dxa"/>
            </w:tcMar>
            <w:vAlign w:val="top"/>
          </w:tcPr>
          <w:p>
            <w:pPr>
              <w:spacing w:after="60"/>
            </w:pPr>
            <w:r/>
            <w:r>
              <w:rPr>
                <w:rFonts w:ascii="微软雅黑" w:hAnsi="微软雅黑" w:eastAsia="微软雅黑"/>
                <w:b/>
                <w:color w:val="9A4A12"/>
                <w:sz w:val="22"/>
              </w:rPr>
              <w:t>▍</w:t>
            </w:r>
            <w:r>
              <w:rPr>
                <w:rFonts w:ascii="微软雅黑" w:hAnsi="微软雅黑" w:eastAsia="微软雅黑"/>
                <w:b/>
                <w:color w:val="142B4A"/>
                <w:sz w:val="20"/>
              </w:rPr>
              <w:t>招商与政府资源落地</w:t>
            </w:r>
          </w:p>
          <w:p>
            <w:pPr>
              <w:spacing w:after="40" w:line="259" w:lineRule="auto"/>
            </w:pPr>
            <w:r>
              <w:rPr>
                <w:rFonts w:ascii="微软雅黑" w:hAnsi="微软雅黑" w:eastAsia="微软雅黑"/>
                <w:b w:val="0"/>
                <w:color w:val="444C56"/>
                <w:sz w:val="16"/>
              </w:rPr>
              <w:t>• 14 年投资拓展：重资产勾地、轻资产品牌输出、委托代建、股权收并购、法拍与不良资产。</w:t>
            </w:r>
          </w:p>
          <w:p>
            <w:pPr>
              <w:spacing w:after="40" w:line="259" w:lineRule="auto"/>
            </w:pPr>
            <w:r>
              <w:rPr>
                <w:rFonts w:ascii="微软雅黑" w:hAnsi="微软雅黑" w:eastAsia="微软雅黑"/>
                <w:b w:val="0"/>
                <w:color w:val="444C56"/>
                <w:sz w:val="16"/>
              </w:rPr>
              <w:t>• 临沂吾悦广场对接市级重点招商政策；万科阶段落地靖江印象城、海宁、镇江大港、金坛及冷链园等。</w:t>
            </w:r>
          </w:p>
          <w:p>
            <w:pPr>
              <w:spacing w:after="40" w:line="259" w:lineRule="auto"/>
            </w:pPr>
            <w:r>
              <w:rPr>
                <w:rFonts w:ascii="微软雅黑" w:hAnsi="微软雅黑" w:eastAsia="微软雅黑"/>
                <w:b w:val="0"/>
                <w:color w:val="444C56"/>
                <w:sz w:val="16"/>
              </w:rPr>
              <w:t>• 深耕江浙沪、皖鲁闽政府与国企关系，能独立完成可行性研究与落地协同。</w:t>
            </w:r>
          </w:p>
          <w:p>
            <w:pPr>
              <w:spacing w:after="40" w:line="259" w:lineRule="auto"/>
            </w:pPr>
            <w:r>
              <w:rPr>
                <w:rFonts w:ascii="微软雅黑" w:hAnsi="微软雅黑" w:eastAsia="微软雅黑"/>
                <w:b w:val="0"/>
                <w:color w:val="444C56"/>
                <w:sz w:val="16"/>
              </w:rPr>
              <w:t>• 现职连接区科企联、高校智库、工商联房地产商会，具备「政策—空间—企业—资本」闭环。</w:t>
            </w:r>
          </w:p>
        </w:tc>
      </w:tr>
    </w:tbl>
    <w:p>
      <w:pPr>
        <w:spacing w:before="160" w:after="20" w:line="269" w:lineRule="auto"/>
      </w:pPr>
      <w:r>
        <w:rPr>
          <w:rFonts w:ascii="微软雅黑" w:hAnsi="微软雅黑" w:eastAsia="微软雅黑"/>
          <w:b/>
          <w:color w:val="142B4A"/>
          <w:sz w:val="24"/>
        </w:rPr>
        <w:t>工作经历</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5159"/>
        <w:gridCol w:w="5159"/>
      </w:tblGrid>
      <w:tr>
        <w:tc>
          <w:tcPr>
            <w:tcW w:type="dxa" w:w="7030"/>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复旦大学住房政策研究中心</w:t>
            </w:r>
            <w:r>
              <w:rPr>
                <w:rFonts w:ascii="微软雅黑" w:hAnsi="微软雅黑" w:eastAsia="微软雅黑"/>
                <w:b w:val="0"/>
                <w:color w:val="5C6773"/>
                <w:sz w:val="19"/>
              </w:rPr>
              <w:t xml:space="preserve">  |  秘书长 / 副教授级高级工程师</w:t>
            </w:r>
          </w:p>
        </w:tc>
        <w:tc>
          <w:tcPr>
            <w:tcW w:type="dxa" w:w="2948"/>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2021.06 – 至今</w:t>
            </w:r>
          </w:p>
        </w:tc>
      </w:tr>
    </w:tbl>
    <w:p>
      <w:pPr>
        <w:spacing w:before="40" w:after="40" w:line="269" w:lineRule="auto"/>
      </w:pPr>
      <w:r>
        <w:rPr>
          <w:rFonts w:ascii="微软雅黑" w:hAnsi="微软雅黑" w:eastAsia="微软雅黑"/>
          <w:b w:val="0"/>
          <w:color w:val="5C6773"/>
          <w:sz w:val="18"/>
        </w:rPr>
        <w:t>兼杨浦区科技企业联合会执行会长、复旦 MBA 不动产资产管理协会秘书长（创始理事长）。牵头住房保障、租赁市场、城市更新等课题，组织高峰论坛、闭门研讨与战略合作。</w:t>
      </w:r>
    </w:p>
    <w:p>
      <w:pPr>
        <w:spacing w:before="0" w:after="32" w:line="269" w:lineRule="auto"/>
        <w:ind w:left="181" w:hanging="181"/>
      </w:pPr>
      <w:r>
        <w:rPr>
          <w:rFonts w:ascii="微软雅黑" w:hAnsi="微软雅黑" w:eastAsia="微软雅黑"/>
          <w:b w:val="0"/>
          <w:color w:val="444C56"/>
          <w:sz w:val="19"/>
        </w:rPr>
        <w:t>•  AI：2026.05 主办方代表，人工智能商业化落地与硬核投资破局峰会（上海北外滩，600+ 嘉宾）；主持「从算力引擎到新质资产（AI 全产业链商业化实战）」圆桌，公开提出做实产学研融协同、服务科创企业。</w:t>
      </w:r>
    </w:p>
    <w:p>
      <w:pPr>
        <w:spacing w:before="0" w:after="32" w:line="269" w:lineRule="auto"/>
        <w:ind w:left="181" w:hanging="181"/>
      </w:pPr>
      <w:r>
        <w:rPr>
          <w:rFonts w:ascii="微软雅黑" w:hAnsi="微软雅黑" w:eastAsia="微软雅黑"/>
          <w:b w:val="0"/>
          <w:color w:val="444C56"/>
          <w:sz w:val="19"/>
        </w:rPr>
        <w:t>•  出海：2026.03「北欧创新国际会客厅」揭牌（科企联、复旦住房政策研究中心等共同发起），交流中欧创新机制与企业国际化；2024.06 主持中国投资者海外不动产战略布局主题活动。</w:t>
      </w:r>
    </w:p>
    <w:p>
      <w:pPr>
        <w:spacing w:before="0" w:after="32" w:line="269" w:lineRule="auto"/>
        <w:ind w:left="181" w:hanging="181"/>
      </w:pPr>
      <w:r>
        <w:rPr>
          <w:rFonts w:ascii="微软雅黑" w:hAnsi="微软雅黑" w:eastAsia="微软雅黑"/>
          <w:b w:val="0"/>
          <w:color w:val="444C56"/>
          <w:sz w:val="19"/>
        </w:rPr>
        <w:t>•  招商/平台：2025.05 联合主办全球新经济增长引擎峰会并参加房地产×资本×产业圆桌；出席上海市工商联房地产商会资产管理分会成立大会并参与战略合作仪式。</w:t>
      </w:r>
    </w:p>
    <w:p>
      <w:pPr>
        <w:spacing w:before="0" w:after="32" w:line="269" w:lineRule="auto"/>
        <w:ind w:left="181" w:hanging="181"/>
      </w:pPr>
      <w:r>
        <w:rPr>
          <w:rFonts w:ascii="微软雅黑" w:hAnsi="微软雅黑" w:eastAsia="微软雅黑"/>
          <w:b w:val="0"/>
          <w:color w:val="444C56"/>
          <w:sz w:val="19"/>
        </w:rPr>
        <w:t>•  对外解读住房政策、接受媒体采访，持续把智库研究转化为政企对话与产业对接场景。</w:t>
      </w:r>
    </w:p>
    <w:tbl>
      <w:tblPr>
        <w:tblW w:type="auto" w:w="0"/>
        <w:jc w:val="center"/>
        <w:tblLayout w:type="fixed"/>
        <w:tblLook w:firstColumn="1" w:firstRow="1" w:lastColumn="0" w:lastRow="0" w:noHBand="0" w:noVBand="1" w:val="04A0"/>
      </w:tblPr>
      <w:tblGrid>
        <w:gridCol w:w="5159"/>
        <w:gridCol w:w="5159"/>
      </w:tblGrid>
      <w:tr>
        <w:tc>
          <w:tcPr>
            <w:tcW w:type="dxa" w:w="7030"/>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万科企业集团股份有限公司 上海区域</w:t>
            </w:r>
            <w:r>
              <w:rPr>
                <w:rFonts w:ascii="微软雅黑" w:hAnsi="微软雅黑" w:eastAsia="微软雅黑"/>
                <w:b w:val="0"/>
                <w:color w:val="5C6773"/>
                <w:sz w:val="19"/>
              </w:rPr>
              <w:t xml:space="preserve">  |  江浙事业部 投资副总经理</w:t>
            </w:r>
          </w:p>
        </w:tc>
        <w:tc>
          <w:tcPr>
            <w:tcW w:type="dxa" w:w="2948"/>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2017.03 – 2021.06</w:t>
            </w:r>
          </w:p>
        </w:tc>
      </w:tr>
    </w:tbl>
    <w:p>
      <w:pPr>
        <w:spacing w:before="40" w:after="40" w:line="269" w:lineRule="auto"/>
      </w:pPr>
      <w:r>
        <w:rPr>
          <w:rFonts w:ascii="微软雅黑" w:hAnsi="微软雅黑" w:eastAsia="微软雅黑"/>
          <w:b w:val="0"/>
          <w:color w:val="5C6773"/>
          <w:sz w:val="18"/>
        </w:rPr>
        <w:t>汇报投资合作开发部总经理，团队 8 人。深耕江浙未进入城市，负责策略勾地、收并购、债务重组与不良资产处置，覆盖商业综合体、产城、物流冷链。</w:t>
      </w:r>
    </w:p>
    <w:p>
      <w:pPr>
        <w:spacing w:before="0" w:after="32" w:line="269" w:lineRule="auto"/>
        <w:ind w:left="181" w:hanging="181"/>
      </w:pPr>
      <w:r>
        <w:rPr>
          <w:rFonts w:ascii="微软雅黑" w:hAnsi="微软雅黑" w:eastAsia="微软雅黑"/>
          <w:b w:val="0"/>
          <w:color w:val="444C56"/>
          <w:sz w:val="19"/>
        </w:rPr>
        <w:t>•  靖江印象城（2017.10）：重资产勾地 + 印力轻资产委管，约 15 亿获取 556 亩及约 7 万方自持购物中心，苏中县市首家印象城。</w:t>
      </w:r>
    </w:p>
    <w:p>
      <w:pPr>
        <w:spacing w:before="0" w:after="32" w:line="269" w:lineRule="auto"/>
        <w:ind w:left="181" w:hanging="181"/>
      </w:pPr>
      <w:r>
        <w:rPr>
          <w:rFonts w:ascii="微软雅黑" w:hAnsi="微软雅黑" w:eastAsia="微软雅黑"/>
          <w:b w:val="0"/>
          <w:color w:val="444C56"/>
          <w:sz w:val="19"/>
        </w:rPr>
        <w:t>•  政府/国企合作：嘉兴海宁商住代建拓展（18.53 亿 / 约 23 万㎡）；镇江大港金域蓝湾与大港集团各半合作；常州金坛理想城约 28.05 亿、561 亩底价获取。</w:t>
      </w:r>
    </w:p>
    <w:p>
      <w:pPr>
        <w:spacing w:before="0" w:after="32" w:line="269" w:lineRule="auto"/>
        <w:ind w:left="181" w:hanging="181"/>
      </w:pPr>
      <w:r>
        <w:rPr>
          <w:rFonts w:ascii="微软雅黑" w:hAnsi="微软雅黑" w:eastAsia="微软雅黑"/>
          <w:b w:val="0"/>
          <w:color w:val="444C56"/>
          <w:sz w:val="19"/>
        </w:rPr>
        <w:t>•  特资与产业：上海龙湖滟澜山法拍收并购（IRR 约 16.16%）；万纬嘉兴平湖、上海南桥冷链园政府勾地与收购改造（含智能化园区）。</w:t>
      </w:r>
    </w:p>
    <w:p>
      <w:pPr>
        <w:spacing w:before="0" w:after="32" w:line="269" w:lineRule="auto"/>
        <w:ind w:left="181" w:hanging="181"/>
      </w:pPr>
      <w:r>
        <w:rPr>
          <w:rFonts w:ascii="微软雅黑" w:hAnsi="微软雅黑" w:eastAsia="微软雅黑"/>
          <w:b w:val="0"/>
          <w:color w:val="444C56"/>
          <w:sz w:val="19"/>
        </w:rPr>
        <w:t>•  协助临沂河东鲁商新都会（国企基金 + 勾地 + 代建），并推动盐城、台州、金坛等城市进入。</w:t>
      </w:r>
    </w:p>
    <w:p>
      <w:r>
        <w:br w:type="page"/>
      </w:r>
    </w:p>
    <w:p>
      <w:pPr>
        <w:spacing w:before="160" w:after="20" w:line="269" w:lineRule="auto"/>
      </w:pPr>
      <w:r>
        <w:rPr>
          <w:rFonts w:ascii="微软雅黑" w:hAnsi="微软雅黑" w:eastAsia="微软雅黑"/>
          <w:b/>
          <w:color w:val="142B4A"/>
          <w:sz w:val="24"/>
        </w:rPr>
        <w:t>工作经历（续）</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5159"/>
        <w:gridCol w:w="5159"/>
      </w:tblGrid>
      <w:tr>
        <w:tc>
          <w:tcPr>
            <w:tcW w:type="dxa" w:w="7030"/>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新城控股集团股份有限公司</w:t>
            </w:r>
            <w:r>
              <w:rPr>
                <w:rFonts w:ascii="微软雅黑" w:hAnsi="微软雅黑" w:eastAsia="微软雅黑"/>
                <w:b w:val="0"/>
                <w:color w:val="5C6773"/>
                <w:sz w:val="19"/>
              </w:rPr>
              <w:t xml:space="preserve">  |  战略投资中心 投资拓展资深专业经理</w:t>
            </w:r>
          </w:p>
        </w:tc>
        <w:tc>
          <w:tcPr>
            <w:tcW w:type="dxa" w:w="2948"/>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2015.11 – 2017.02</w:t>
            </w:r>
          </w:p>
        </w:tc>
      </w:tr>
    </w:tbl>
    <w:p>
      <w:pPr>
        <w:spacing w:before="0" w:after="32" w:line="269" w:lineRule="auto"/>
        <w:ind w:left="181" w:hanging="181"/>
      </w:pPr>
      <w:r>
        <w:rPr>
          <w:rFonts w:ascii="微软雅黑" w:hAnsi="微软雅黑" w:eastAsia="微软雅黑"/>
          <w:b w:val="0"/>
          <w:color w:val="444C56"/>
          <w:sz w:val="19"/>
        </w:rPr>
        <w:t>•  临沂吾悦广场：对接市级重点招商引资政策，推动商业综合体落地；齐鲁吾悦、青岛吾悦（轻资产品牌输出 + 委管，约 13.68 万㎡）。</w:t>
      </w:r>
    </w:p>
    <w:p>
      <w:pPr>
        <w:spacing w:before="0" w:after="32" w:line="269" w:lineRule="auto"/>
        <w:ind w:left="181" w:hanging="181"/>
      </w:pPr>
      <w:r>
        <w:rPr>
          <w:rFonts w:ascii="微软雅黑" w:hAnsi="微软雅黑" w:eastAsia="微软雅黑"/>
          <w:b w:val="0"/>
          <w:color w:val="444C56"/>
          <w:sz w:val="19"/>
        </w:rPr>
        <w:t>•  维护华东及多区域政府关系，支持全国化拓展中的信息研判、谈判与落地协同。</w:t>
      </w:r>
    </w:p>
    <w:tbl>
      <w:tblPr>
        <w:tblW w:type="auto" w:w="0"/>
        <w:jc w:val="center"/>
        <w:tblLayout w:type="fixed"/>
        <w:tblLook w:firstColumn="1" w:firstRow="1" w:lastColumn="0" w:lastRow="0" w:noHBand="0" w:noVBand="1" w:val="04A0"/>
      </w:tblPr>
      <w:tblGrid>
        <w:gridCol w:w="5159"/>
        <w:gridCol w:w="5159"/>
      </w:tblGrid>
      <w:tr>
        <w:tc>
          <w:tcPr>
            <w:tcW w:type="dxa" w:w="7030"/>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中南建设集团 / 中南控股集团</w:t>
            </w:r>
            <w:r>
              <w:rPr>
                <w:rFonts w:ascii="微软雅黑" w:hAnsi="微软雅黑" w:eastAsia="微软雅黑"/>
                <w:b w:val="0"/>
                <w:color w:val="5C6773"/>
                <w:sz w:val="19"/>
              </w:rPr>
              <w:t xml:space="preserve">  |  投资拓展经理 / 战略企划管理主管</w:t>
            </w:r>
          </w:p>
        </w:tc>
        <w:tc>
          <w:tcPr>
            <w:tcW w:type="dxa" w:w="2948"/>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2011.06 – 2015.10</w:t>
            </w:r>
          </w:p>
        </w:tc>
      </w:tr>
    </w:tbl>
    <w:p>
      <w:pPr>
        <w:spacing w:before="0" w:after="32" w:line="269" w:lineRule="auto"/>
        <w:ind w:left="181" w:hanging="181"/>
      </w:pPr>
      <w:r>
        <w:rPr>
          <w:rFonts w:ascii="微软雅黑" w:hAnsi="微软雅黑" w:eastAsia="微软雅黑"/>
          <w:b w:val="0"/>
          <w:color w:val="444C56"/>
          <w:sz w:val="19"/>
        </w:rPr>
        <w:t>•  如皋世纪城等勾地综合体、苏州中南锦苑、江阴白鹭湾（与碧桂园同股同权合作）等项目拓展；主导多宗公开竞拍。</w:t>
      </w:r>
    </w:p>
    <w:p>
      <w:pPr>
        <w:spacing w:before="0" w:after="32" w:line="269" w:lineRule="auto"/>
        <w:ind w:left="181" w:hanging="181"/>
      </w:pPr>
      <w:r>
        <w:rPr>
          <w:rFonts w:ascii="微软雅黑" w:hAnsi="微软雅黑" w:eastAsia="微软雅黑"/>
          <w:b w:val="0"/>
          <w:color w:val="444C56"/>
          <w:sz w:val="19"/>
        </w:rPr>
        <w:t>•  推进美国养老、日本永旺、平安不动产等合作对接；2014 年底晋升并派驻四川任西南拓展负责人。前期在总裁办负责战略企划与制度建设。</w:t>
      </w:r>
    </w:p>
    <w:p>
      <w:pPr>
        <w:spacing w:before="160" w:after="20" w:line="269" w:lineRule="auto"/>
      </w:pPr>
      <w:r>
        <w:rPr>
          <w:rFonts w:ascii="微软雅黑" w:hAnsi="微软雅黑" w:eastAsia="微软雅黑"/>
          <w:b/>
          <w:color w:val="142B4A"/>
          <w:sz w:val="24"/>
        </w:rPr>
        <w:t>代表项目（招商 / 产业落地）</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3439"/>
        <w:gridCol w:w="3439"/>
        <w:gridCol w:w="3439"/>
      </w:tblGrid>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142B4A" w:val="clear"/>
          </w:tcPr>
          <w:p>
            <w:r/>
          </w:p>
          <w:p>
            <w:pPr>
              <w:spacing w:before="0" w:after="0" w:line="259" w:lineRule="auto"/>
              <w:jc w:val="center"/>
            </w:pPr>
            <w:r>
              <w:rPr>
                <w:rFonts w:ascii="微软雅黑" w:hAnsi="微软雅黑" w:eastAsia="微软雅黑"/>
                <w:b/>
                <w:color w:val="FFFFFF"/>
                <w:sz w:val="17"/>
              </w:rPr>
              <w:t>项目</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142B4A" w:val="clear"/>
          </w:tcPr>
          <w:p>
            <w:r/>
          </w:p>
          <w:p>
            <w:pPr>
              <w:spacing w:before="0" w:after="0" w:line="259" w:lineRule="auto"/>
              <w:jc w:val="center"/>
            </w:pPr>
            <w:r>
              <w:rPr>
                <w:rFonts w:ascii="微软雅黑" w:hAnsi="微软雅黑" w:eastAsia="微软雅黑"/>
                <w:b/>
                <w:color w:val="FFFFFF"/>
                <w:sz w:val="17"/>
              </w:rPr>
              <w:t>模式</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142B4A" w:val="clear"/>
          </w:tcPr>
          <w:p>
            <w:r/>
          </w:p>
          <w:p>
            <w:pPr>
              <w:spacing w:before="0" w:after="0" w:line="259" w:lineRule="auto"/>
              <w:jc w:val="center"/>
            </w:pPr>
            <w:r>
              <w:rPr>
                <w:rFonts w:ascii="微软雅黑" w:hAnsi="微软雅黑" w:eastAsia="微软雅黑"/>
                <w:b/>
                <w:color w:val="FFFFFF"/>
                <w:sz w:val="17"/>
              </w:rPr>
              <w:t>要点</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color w:val="142B4A"/>
                <w:sz w:val="16"/>
              </w:rPr>
              <w:t>万科靖江印象城</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勾地 + 轻资产委管</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约 15 亿获取 556 亩及约 7 万方自持购物中心，苏中县市首家印象城</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color w:val="142B4A"/>
                <w:sz w:val="16"/>
              </w:rPr>
              <w:t>嘉兴海宁商住</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政府代建拓展</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18.53 亿两宗商住地，建面约 23 万㎡，配建安置房</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color w:val="142B4A"/>
                <w:sz w:val="16"/>
              </w:rPr>
              <w:t>镇江大港金域蓝湾</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收并购 + 国企合作</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199 亩 / 约 32 万方，与镇江大港集团各半合作</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color w:val="142B4A"/>
                <w:sz w:val="16"/>
              </w:rPr>
              <w:t>常州金坛理想城</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收并购 + 债务重组</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约 28.05 亿、561 亩，底价获取</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color w:val="142B4A"/>
                <w:sz w:val="16"/>
              </w:rPr>
              <w:t>上海龙湖滟澜山</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法拍不良资产</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金融测算 IRR 约 16.16%，特资「募投管退」样本</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color w:val="142B4A"/>
                <w:sz w:val="16"/>
              </w:rPr>
              <w:t>万纬平湖 / 南桥冷链</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产业勾地 / 收购改造</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嘉兴首个高标准自动化冷链园；南桥智能化园区</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color w:val="142B4A"/>
                <w:sz w:val="16"/>
              </w:rPr>
              <w:t>临沂吾悦广场</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市级重点招商</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tcPr>
          <w:p>
            <w:r/>
          </w:p>
          <w:p>
            <w:pPr>
              <w:spacing w:before="0" w:after="0" w:line="259" w:lineRule="auto"/>
              <w:jc w:val="left"/>
            </w:pPr>
            <w:r>
              <w:rPr>
                <w:rFonts w:ascii="微软雅黑" w:hAnsi="微软雅黑" w:eastAsia="微软雅黑"/>
                <w:b w:val="0"/>
                <w:color w:val="444C56"/>
                <w:sz w:val="16"/>
              </w:rPr>
              <w:t>对接市重点招商政策，推动商业综合体落地</w:t>
            </w:r>
          </w:p>
        </w:tc>
      </w:tr>
      <w:tr>
        <w:tc>
          <w:tcPr>
            <w:tcW w:type="dxa" w:w="2608"/>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color w:val="142B4A"/>
                <w:sz w:val="16"/>
              </w:rPr>
              <w:t>青岛吾悦广场</w:t>
            </w:r>
          </w:p>
        </w:tc>
        <w:tc>
          <w:tcPr>
            <w:tcW w:type="dxa" w:w="2494"/>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轻资产品牌输出</w:t>
            </w:r>
          </w:p>
        </w:tc>
        <w:tc>
          <w:tcPr>
            <w:tcW w:type="dxa" w:w="5216"/>
            <w:tcBorders>
              <w:top w:val="single" w:sz="6" w:color="D7DEE8" w:space="0"/>
              <w:left w:val="single" w:sz="6" w:color="D7DEE8" w:space="0"/>
              <w:bottom w:val="single" w:sz="6" w:color="D7DEE8" w:space="0"/>
              <w:right w:val="single" w:sz="6" w:color="D7DEE8" w:space="0"/>
            </w:tcBorders>
            <w:tcMar>
              <w:top w:w="40" w:type="dxa"/>
              <w:left w:w="60" w:type="dxa"/>
              <w:bottom w:w="40" w:type="dxa"/>
              <w:right w:w="60" w:type="dxa"/>
            </w:tcMar>
            <w:shd w:fill="F4F7FB" w:val="clear"/>
          </w:tcPr>
          <w:p>
            <w:r/>
          </w:p>
          <w:p>
            <w:pPr>
              <w:spacing w:before="0" w:after="0" w:line="259" w:lineRule="auto"/>
              <w:jc w:val="left"/>
            </w:pPr>
            <w:r>
              <w:rPr>
                <w:rFonts w:ascii="微软雅黑" w:hAnsi="微软雅黑" w:eastAsia="微软雅黑"/>
                <w:b w:val="0"/>
                <w:color w:val="444C56"/>
                <w:sz w:val="16"/>
              </w:rPr>
              <w:t>品牌输出 + 委管，约 13.68 万㎡</w:t>
            </w:r>
          </w:p>
        </w:tc>
      </w:tr>
    </w:tbl>
    <w:p>
      <w:pPr>
        <w:spacing w:before="160" w:after="20" w:line="269" w:lineRule="auto"/>
      </w:pPr>
      <w:r>
        <w:rPr>
          <w:rFonts w:ascii="微软雅黑" w:hAnsi="微软雅黑" w:eastAsia="微软雅黑"/>
          <w:b/>
          <w:color w:val="142B4A"/>
          <w:sz w:val="24"/>
        </w:rPr>
        <w:t>教育、资质与成果</w:t>
      </w:r>
    </w:p>
    <w:p>
      <w:pPr>
        <w:spacing w:before="0" w:after="80"/>
        <w:pBdr>
          <w:bottom w:val="single" w:sz="14" w:space="1" w:color="C48A2B"/>
        </w:pBdr>
      </w:pPr>
    </w:p>
    <w:tbl>
      <w:tblPr>
        <w:tblW w:type="auto" w:w="0"/>
        <w:tblLayout w:type="fixed"/>
        <w:tblLook w:firstColumn="1" w:firstRow="1" w:lastColumn="0" w:lastRow="0" w:noHBand="0" w:noVBand="1" w:val="04A0"/>
      </w:tblPr>
      <w:tblGrid>
        <w:gridCol w:w="5159"/>
        <w:gridCol w:w="5159"/>
      </w:tblGrid>
      <w:tr>
        <w:tc>
          <w:tcPr>
            <w:tcW w:type="dxa" w:w="5159"/>
            <w:shd w:fill="F4F7FB" w:val="clear"/>
            <w:tcBorders>
              <w:top w:val="single" w:sz="4" w:color="D7DEE8" w:space="0"/>
              <w:left w:val="single" w:sz="4" w:color="D7DEE8" w:space="0"/>
              <w:bottom w:val="single" w:sz="4" w:color="D7DEE8" w:space="0"/>
              <w:right w:val="single" w:sz="4" w:color="D7DEE8" w:space="0"/>
            </w:tcBorders>
            <w:tcMar>
              <w:top w:w="60" w:type="dxa"/>
              <w:left w:w="80" w:type="dxa"/>
              <w:bottom w:w="60" w:type="dxa"/>
              <w:right w:w="80" w:type="dxa"/>
            </w:tcMar>
            <w:vAlign w:val="top"/>
          </w:tcPr>
          <w:p>
            <w:pPr>
              <w:spacing w:after="40"/>
            </w:pPr>
            <w:r/>
            <w:r>
              <w:rPr>
                <w:rFonts w:ascii="微软雅黑" w:hAnsi="微软雅黑" w:eastAsia="微软雅黑"/>
                <w:b/>
                <w:color w:val="142B4A"/>
                <w:sz w:val="19"/>
              </w:rPr>
              <w:t>教育与培训</w:t>
            </w:r>
          </w:p>
          <w:p>
            <w:pPr>
              <w:spacing w:after="20" w:line="259" w:lineRule="auto"/>
            </w:pPr>
            <w:r>
              <w:rPr>
                <w:rFonts w:ascii="微软雅黑" w:hAnsi="微软雅黑" w:eastAsia="微软雅黑"/>
                <w:b w:val="0"/>
                <w:color w:val="444C56"/>
                <w:sz w:val="16"/>
              </w:rPr>
              <w:t>2018.09–2021.06  复旦大学  工商管理硕士（财务金融）</w:t>
            </w:r>
          </w:p>
          <w:p>
            <w:pPr>
              <w:spacing w:after="20" w:line="259" w:lineRule="auto"/>
            </w:pPr>
            <w:r>
              <w:rPr>
                <w:rFonts w:ascii="微软雅黑" w:hAnsi="微软雅黑" w:eastAsia="微软雅黑"/>
                <w:b w:val="0"/>
                <w:color w:val="444C56"/>
                <w:sz w:val="16"/>
              </w:rPr>
              <w:t>2007.09–2011.07  中国海洋大学  土木工程  工学学士</w:t>
            </w:r>
          </w:p>
          <w:p>
            <w:pPr>
              <w:spacing w:after="20" w:line="259" w:lineRule="auto"/>
            </w:pPr>
            <w:r>
              <w:rPr>
                <w:rFonts w:ascii="微软雅黑" w:hAnsi="微软雅黑" w:eastAsia="微软雅黑"/>
                <w:b w:val="0"/>
                <w:color w:val="444C56"/>
                <w:sz w:val="16"/>
              </w:rPr>
              <w:t>上海交大 · 城市治理数字化转型高研班；复旦·怡安人力与风险管理；复旦·花旗银行实践课程</w:t>
            </w:r>
          </w:p>
        </w:tc>
        <w:tc>
          <w:tcPr>
            <w:tcW w:type="dxa" w:w="5159"/>
            <w:shd w:fill="F4F7FB" w:val="clear"/>
            <w:tcBorders>
              <w:top w:val="single" w:sz="4" w:color="D7DEE8" w:space="0"/>
              <w:left w:val="single" w:sz="4" w:color="D7DEE8" w:space="0"/>
              <w:bottom w:val="single" w:sz="4" w:color="D7DEE8" w:space="0"/>
              <w:right w:val="single" w:sz="4" w:color="D7DEE8" w:space="0"/>
            </w:tcBorders>
            <w:tcMar>
              <w:top w:w="60" w:type="dxa"/>
              <w:left w:w="80" w:type="dxa"/>
              <w:bottom w:w="60" w:type="dxa"/>
              <w:right w:w="80" w:type="dxa"/>
            </w:tcMar>
            <w:vAlign w:val="top"/>
          </w:tcPr>
          <w:p>
            <w:pPr>
              <w:spacing w:after="40"/>
            </w:pPr>
            <w:r/>
            <w:r>
              <w:rPr>
                <w:rFonts w:ascii="微软雅黑" w:hAnsi="微软雅黑" w:eastAsia="微软雅黑"/>
                <w:b/>
                <w:color w:val="142B4A"/>
                <w:sz w:val="19"/>
              </w:rPr>
              <w:t>职称证书</w:t>
            </w:r>
          </w:p>
          <w:p>
            <w:pPr>
              <w:spacing w:after="20" w:line="259" w:lineRule="auto"/>
            </w:pPr>
            <w:r>
              <w:rPr>
                <w:rFonts w:ascii="微软雅黑" w:hAnsi="微软雅黑" w:eastAsia="微软雅黑"/>
                <w:b w:val="0"/>
                <w:color w:val="444C56"/>
                <w:sz w:val="16"/>
              </w:rPr>
              <w:t>副教授级高级工程师；会计师中级；PMP；上海市住建委项目管理工程师；江苏省机械管理师</w:t>
            </w:r>
          </w:p>
          <w:p>
            <w:pPr>
              <w:spacing w:after="20" w:line="259" w:lineRule="auto"/>
            </w:pPr>
            <w:r>
              <w:rPr>
                <w:rFonts w:ascii="微软雅黑" w:hAnsi="微软雅黑" w:eastAsia="微软雅黑"/>
                <w:b w:val="0"/>
                <w:color w:val="444C56"/>
                <w:sz w:val="16"/>
              </w:rPr>
              <w:t>IELTS 6.0；普通话一级甲等；BIM；上海市人才引进认证</w:t>
            </w:r>
          </w:p>
        </w:tc>
      </w:tr>
      <w:tr>
        <w:tc>
          <w:tcPr>
            <w:tcW w:type="dxa" w:w="5159"/>
            <w:shd w:fill="F4F7FB" w:val="clear"/>
            <w:tcBorders>
              <w:top w:val="single" w:sz="4" w:color="D7DEE8" w:space="0"/>
              <w:left w:val="single" w:sz="4" w:color="D7DEE8" w:space="0"/>
              <w:bottom w:val="single" w:sz="4" w:color="D7DEE8" w:space="0"/>
              <w:right w:val="single" w:sz="4" w:color="D7DEE8" w:space="0"/>
            </w:tcBorders>
            <w:tcMar>
              <w:top w:w="60" w:type="dxa"/>
              <w:left w:w="80" w:type="dxa"/>
              <w:bottom w:w="60" w:type="dxa"/>
              <w:right w:w="80" w:type="dxa"/>
            </w:tcMar>
            <w:vAlign w:val="top"/>
          </w:tcPr>
          <w:p>
            <w:pPr>
              <w:spacing w:after="40"/>
            </w:pPr>
            <w:r/>
            <w:r>
              <w:rPr>
                <w:rFonts w:ascii="微软雅黑" w:hAnsi="微软雅黑" w:eastAsia="微软雅黑"/>
                <w:b/>
                <w:color w:val="142B4A"/>
                <w:sz w:val="19"/>
              </w:rPr>
              <w:t>论文与专利</w:t>
            </w:r>
          </w:p>
          <w:p>
            <w:pPr>
              <w:spacing w:after="20" w:line="259" w:lineRule="auto"/>
            </w:pPr>
            <w:r>
              <w:rPr>
                <w:rFonts w:ascii="微软雅黑" w:hAnsi="微软雅黑" w:eastAsia="微软雅黑"/>
                <w:b w:val="0"/>
                <w:color w:val="444C56"/>
                <w:sz w:val="16"/>
              </w:rPr>
              <w:t>《万科物流地产平台业务发展战略研究》（知网）</w:t>
            </w:r>
          </w:p>
          <w:p>
            <w:pPr>
              <w:spacing w:after="20" w:line="259" w:lineRule="auto"/>
            </w:pPr>
            <w:r>
              <w:rPr>
                <w:rFonts w:ascii="微软雅黑" w:hAnsi="微软雅黑" w:eastAsia="微软雅黑"/>
                <w:b w:val="0"/>
                <w:color w:val="444C56"/>
                <w:sz w:val="16"/>
              </w:rPr>
              <w:t>《房屋建筑工程人工智能技术的应用》（《住宅与房地产》）</w:t>
            </w:r>
          </w:p>
          <w:p>
            <w:pPr>
              <w:spacing w:after="20" w:line="259" w:lineRule="auto"/>
            </w:pPr>
            <w:r>
              <w:rPr>
                <w:rFonts w:ascii="微软雅黑" w:hAnsi="微软雅黑" w:eastAsia="微软雅黑"/>
                <w:b w:val="0"/>
                <w:color w:val="444C56"/>
                <w:sz w:val="16"/>
              </w:rPr>
              <w:t>《铝模板在高层住宅建筑工程中的应用》《基于 BIM 的装配式钢结构建筑施工新技术与管理研究》</w:t>
            </w:r>
          </w:p>
          <w:p>
            <w:pPr>
              <w:spacing w:after="20" w:line="259" w:lineRule="auto"/>
            </w:pPr>
            <w:r>
              <w:rPr>
                <w:rFonts w:ascii="微软雅黑" w:hAnsi="微软雅黑" w:eastAsia="微软雅黑"/>
                <w:b w:val="0"/>
                <w:color w:val="444C56"/>
                <w:sz w:val="16"/>
              </w:rPr>
              <w:t>实用新型专利 2 项：建筑工程管理用功能脚架；建筑工程用防护围栏</w:t>
            </w:r>
          </w:p>
        </w:tc>
        <w:tc>
          <w:tcPr>
            <w:tcW w:type="dxa" w:w="5159"/>
            <w:shd w:fill="F4F7FB" w:val="clear"/>
            <w:tcBorders>
              <w:top w:val="single" w:sz="4" w:color="D7DEE8" w:space="0"/>
              <w:left w:val="single" w:sz="4" w:color="D7DEE8" w:space="0"/>
              <w:bottom w:val="single" w:sz="4" w:color="D7DEE8" w:space="0"/>
              <w:right w:val="single" w:sz="4" w:color="D7DEE8" w:space="0"/>
            </w:tcBorders>
            <w:tcMar>
              <w:top w:w="60" w:type="dxa"/>
              <w:left w:w="80" w:type="dxa"/>
              <w:bottom w:w="60" w:type="dxa"/>
              <w:right w:w="80" w:type="dxa"/>
            </w:tcMar>
            <w:vAlign w:val="top"/>
          </w:tcPr>
          <w:p>
            <w:pPr>
              <w:spacing w:after="40"/>
            </w:pPr>
            <w:r/>
            <w:r>
              <w:rPr>
                <w:rFonts w:ascii="微软雅黑" w:hAnsi="微软雅黑" w:eastAsia="微软雅黑"/>
                <w:b/>
                <w:color w:val="142B4A"/>
                <w:sz w:val="19"/>
              </w:rPr>
              <w:t>社会职务与专家</w:t>
            </w:r>
          </w:p>
          <w:p>
            <w:pPr>
              <w:spacing w:after="20" w:line="259" w:lineRule="auto"/>
            </w:pPr>
            <w:r>
              <w:rPr>
                <w:rFonts w:ascii="微软雅黑" w:hAnsi="微软雅黑" w:eastAsia="微软雅黑"/>
                <w:b w:val="0"/>
                <w:color w:val="444C56"/>
                <w:sz w:val="16"/>
              </w:rPr>
              <w:t>杨浦区科技企业联合会执行会长；上海市工商联房地产商会秘书长</w:t>
            </w:r>
          </w:p>
          <w:p>
            <w:pPr>
              <w:spacing w:after="20" w:line="259" w:lineRule="auto"/>
            </w:pPr>
            <w:r>
              <w:rPr>
                <w:rFonts w:ascii="微软雅黑" w:hAnsi="微软雅黑" w:eastAsia="微软雅黑"/>
                <w:b w:val="0"/>
                <w:color w:val="444C56"/>
                <w:sz w:val="16"/>
              </w:rPr>
              <w:t>复旦管院不动产资产管理协会创始理事长；上海山东省商会理事</w:t>
            </w:r>
          </w:p>
          <w:p>
            <w:pPr>
              <w:spacing w:after="20" w:line="259" w:lineRule="auto"/>
            </w:pPr>
            <w:r>
              <w:rPr>
                <w:rFonts w:ascii="微软雅黑" w:hAnsi="微软雅黑" w:eastAsia="微软雅黑"/>
                <w:b w:val="0"/>
                <w:color w:val="444C56"/>
                <w:sz w:val="16"/>
              </w:rPr>
              <w:t>城市更新 / 碳中和节能 / 虹口科技企业评审专家；复旦研究生管理联考面试官</w:t>
            </w:r>
          </w:p>
        </w:tc>
      </w:tr>
    </w:tbl>
    <w:p>
      <w:pPr>
        <w:spacing w:before="160" w:after="0" w:line="269" w:lineRule="auto"/>
      </w:pPr>
      <w:r>
        <w:rPr>
          <w:rFonts w:ascii="微软雅黑" w:hAnsi="微软雅黑" w:eastAsia="微软雅黑"/>
          <w:b w:val="0"/>
          <w:color w:val="5C6773"/>
          <w:sz w:val="16"/>
        </w:rPr>
        <w:t>说明：公开活动职务与角色均可对照央广网、人民网、上观新闻、杨浦区政府官网、锦天城官网等报道核验。原 Boss 直聘稿中的身份证、家庭住址、配偶信息已从对外简历中移除。</w:t>
      </w:r>
    </w:p>
    <w:sectPr w:rsidR="00FC693F" w:rsidRPr="0006063C" w:rsidSect="00034616">
      <w:pgSz w:w="11906" w:h="16838"/>
      <w:pgMar w:top="652" w:right="794" w:bottom="652"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