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A6E6A"/>
          <w:sz w:val="28"/>
        </w:rPr>
        <w:t>杨浦 · 复兴岛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/>
          <w:color w:val="0B3D91"/>
          <w:sz w:val="44"/>
        </w:rPr>
        <w:t>2026 复兴岛·全球创客岛收官答卷大会</w:t>
      </w:r>
    </w:p>
    <w:p>
      <w:pPr>
        <w:spacing w:after="160" w:line="360" w:lineRule="auto"/>
        <w:jc w:val="center"/>
      </w:pPr>
      <w:r>
        <w:rPr>
          <w:rFonts w:ascii="微软雅黑" w:hAnsi="微软雅黑" w:eastAsia="微软雅黑"/>
          <w:b/>
          <w:color w:val="0B3D91"/>
          <w:sz w:val="32"/>
        </w:rPr>
        <w:t>科创出海 × 人工智能 × 具身智能国际大会</w:t>
      </w:r>
    </w:p>
    <w:p>
      <w:pPr>
        <w:spacing w:after="3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4"/>
        </w:rPr>
        <w:t>杨浦·复兴岛「全球创客岛」阶段性成果发布暨国际合作揭牌活动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/>
          <w:color w:val="0A6E6A"/>
          <w:sz w:val="24"/>
        </w:rPr>
        <w:t>建议举办日期：2026 年 9 月 12 日（星期六 · 农历八月初二）</w:t>
      </w:r>
    </w:p>
    <w:p>
      <w:pPr>
        <w:spacing w:after="40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1"/>
        </w:rPr>
        <w:t>（9 月 15 日前最靠近收官节点的开市 / 挂匾黄道吉日）</w:t>
      </w:r>
    </w:p>
    <w:p>
      <w:pPr>
        <w:spacing w:after="480" w:line="360" w:lineRule="auto"/>
        <w:jc w:val="center"/>
      </w:pPr>
      <w:r>
        <w:rPr>
          <w:rFonts w:ascii="微软雅黑" w:hAnsi="微软雅黑" w:eastAsia="微软雅黑"/>
          <w:b w:val="0"/>
          <w:color w:val="1B2A44"/>
          <w:sz w:val="21"/>
        </w:rPr>
        <w:t>以「全球创客岛」阶段性收官为政治节点，以「量子城市」政策为上位牵引，在复兴岛举办一场 200–300 人规模的国际化科创出海与具身智能大会，同步完成若干国家/片区国际会议厅（会客厅）揭牌落位，形成可汇报、可传播、可复用的政绩答卷。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sz w:val="22"/>
        </w:rPr>
        <w:t>建议主办：中共杨浦区委 / 杨浦区人民政府（或授权专项工作组）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1"/>
        </w:rPr>
        <w:t>建议承办：区科委 / 区商务委 / 复兴岛建设运营主体 / 相关行业协会</w:t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20"/>
        </w:rPr>
        <w:t>版本：V1.0 · 建议稿　　编制：活动策划组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目录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一、活动背景与战略意义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二、择日专章：为何选定 2026 年 9 月 12 日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三、活动定位、目标与主题板块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四、活动概览与规模结构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五、场地建议（复兴岛）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六、嘉宾阵容与邀约策略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七、国际会议厅 / 会客厅揭牌落位计划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八、详细议程安排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九、组织架构与执行倒排期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十、预算测算（示意）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十一、预期成效与 KPI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十二、风险预案与下一步行动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2"/>
        </w:rPr>
        <w:t>附录：拟邀「一带一路」国家参考池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一、活动背景与战略意义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本场活动不是一般性行业论坛，而是服务复兴岛领导政绩呈现、对接市级「量子城市」政策、完成「全球创客岛」阶段性收官叙事的重大型政治—产业综合活动。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全球创客岛启动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2025 年 12 月，市委主要领导实地调研复兴岛规划建设进展，正式启动「上海复兴岛—全球创客岛」，并发布相关实施行动与量子城市年度成果。复兴岛被明确为未来城市创新实验区，承担全球创客集聚使命。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国际创新创业集聚区方案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2026 年 2 月，杨浦区印发《关于建设复兴岛国际创新创业集聚区的实施方案》，锚定「数字智能岛、设计艺术岛、人民城市岛」新使命，先期盘活存量工业厂房，打造低成本、高效率、便利性的科创孵化集群。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量子城市实验基地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市委主要领导提出并推动「量子城市」空间智能建设；复兴岛作为上海量子城市实验基地与时空智能创新先行区，已形成全息空间智能体、感知终端接入与多场景应用基础。杨浦区领导以岛上实践迎合市级政策，亟需一场高规格活动完成阶段性收官叙事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具身智能与产业方向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岛上已启动具身智能实景空间实验实训实测系列行动；四大产业方向明确覆盖人工智能与空间智能、生命科学、绿色低碳、低空经济与未来出行。本场活动以出海与科创为主轴，聚焦 AI、具身智能、低空经济的板块协同。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政策迎合要点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市级：「量子城市」时空智能建设 / 科创中心建设 / 人民城市理念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区级：复兴岛国际创新创业集聚区 / 全球创客岛 / 「3310」海外引才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岛级：数字智能岛 · 设计艺术岛 · 人民城市岛；碳硅双基共生实验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国际：「一带一路」倡议下的科技出海与双向投资合作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本场活动要回答的三个问题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自 2025 年 12 月启动以来，全球创客岛交出了什么阶段性答卷？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杨浦如何把「量子城市」从概念变成岛上可看、可感、可汇报的实践？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国际化不是口号：领事来了、会客厅落了、企业对接了吗？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二、择日专章：为何选定 2026 年 9 月 12 日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收官节点要求活动不晚于 2026 年 9 月 15 日。同时需满足：宜开市（大会启动）、宜挂匾（揭牌落位）、宜立券/交易（签约）、宜出行（国际嘉宾到访）。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首选日期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A6E6A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816"/>
            <w:shd w:val="clear" w:color="auto" w:fill="0A6E6A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公历 / 星期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 年 9 月 12 日（星期六 · 农历八月初二）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干支 / 值日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丙午年丁酉月癸未日 · 定日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冲煞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冲羊(癸未) 煞东（属羊贵宾可酌情避席或调整合影位次）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嫁娶 · 祭祀 · 祈福 · 开光 · 出行 · 出火 · 修造 · 动土 · 进人口 · 入宅 · 移徙 · 安床 · 开市 · 交易 · 立券 · 挂匾 · 栽种 · 纳畜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忌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余事勿取（以所列「宜」事项为主）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择日理由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为 9 月 15 日前最靠近收官节点的开市/挂匾吉日；同日宜出行、立券、交易，契合国际嘉宾到访、合作签约与会客厅揭牌。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备选与规避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· 2026 年 9 月 9 日（星期三 · 农历七月廿八）：最靠近 9/15 的工作日开市吉日；宜开市/交易/立券/出行/移徙；若区级主要领导周六不便出席，建议改此日。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· 2026 年 9 月 3 日（星期四 · 农历七月廿二）：金匮黄道日；宜开市/交易/立券/入宅；距 9/15 稍远，可作为前期内部动员或分论坛预热日。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· 规避：2026 年 9 月 10 日（周四）为杨公忌日，大事勿用，不宜安排揭牌与主会场。</w:t>
      </w:r>
    </w:p>
    <w:p>
      <w:pPr>
        <w:spacing w:after="8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· 规避：2026 年 9 月 16 日虽为宜开市日，但已越过 9 月 15 日收官节点，不作首选。</w:t>
      </w:r>
    </w:p>
    <w:p>
      <w:pPr>
        <w:spacing w:after="120" w:line="360" w:lineRule="auto"/>
      </w:pPr>
      <w:r>
        <w:rPr>
          <w:rFonts w:ascii="微软雅黑" w:hAnsi="微软雅黑" w:eastAsia="微软雅黑"/>
          <w:b/>
          <w:color w:val="0A6E6A"/>
          <w:sz w:val="21"/>
        </w:rPr>
        <w:t>建议决策口径：主推 9 月 12 日（最靠近 9/15）；若区主要领导周六难以出席，则改 9 月 9 日（周三）。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三、活动定位、目标与主题板块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一句话定位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以「全球创客岛」阶段性收官为政治节点，以「量子城市」政策为上位牵引，在复兴岛举办一场 200–300 人规模的国际化科创出海与具身智能大会，同步完成若干国家/片区国际会议厅（会客厅）揭牌落位，形成可汇报、可传播、可复用的政绩答卷。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五大目标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政治答卷：向市委、市政府与区委区政府呈现「全球创客岛」自 2025 年 12 月启动以来的阶段性成果。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政策迎合：把「量子城市」时空智能建设与复兴岛实验基地叙事做深做实，服务杨浦区战略站位。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国际规格：邀请「一带一路」沿线国家驻沪总领事亲自出席，体现全球化定位。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产业落地：聚焦人工智能、具身智能、低空经济板块协同，推动场景、项目与企业签约入岛。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空间落位：完成「某某国家 / 某某片区」国际会议厅（会客厅）揭牌，形成可持续国际合作窗口。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四大主题板块（协同而非割裂）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科创出海（Go Global）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「一带一路」国家市场机会与营商环境推介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杨浦 / 复兴岛企业出海服务包与跨境对接机制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海外园区、本地空间与双边投资双向通道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人工智能与空间智能（AI × Quantum City）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量子城市时空智能底座与城市治理大模型成果展示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模型即服务（MaaS）与真实场景训练迭代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AI 企业入岛、算力/模型/语料券政策兑现案例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具身智能（Embodied AI）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实景空间实验实训实测平台阶段性成果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碳硅双基友好场景与「硅基岛民」示范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机器人 / 具身智能企业路演与场景合作签约</w:t>
      </w:r>
    </w:p>
    <w:p>
      <w:pPr>
        <w:pStyle w:val="Heading3"/>
      </w:pPr>
      <w:r>
        <w:rPr>
          <w:rFonts w:ascii="微软雅黑" w:hAnsi="微软雅黑" w:eastAsia="微软雅黑"/>
          <w:b/>
          <w:color w:val="0B3D91"/>
          <w:sz w:val="22"/>
        </w:rPr>
        <w:t>低空经济（Low-altitude）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低空经济与未来出行在岛上的试验空间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适航、空域、应用场景与产业链协同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与 AI / 具身智能交叉的感知—决策—执行闭环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四、活动概览与规模结构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项目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活动名称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 复兴岛·全球创客岛收官答卷大会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副标题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科创出海 × 人工智能 × 具身智能国际大会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建议时间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2026 年 9 月 12 日（星期六 · 农历八月初二）（全天，约 09:00–17:30）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黄历择吉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宜开市 · 挂匾 · 立券 · 出行 · 交易（详见择日专章）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建议地点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复兴岛核心启动区大型会场（建议容量 300–400 人，详见场地专章）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活动规模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现场 200–300 人（核心席约 80–100；产业与生态席约 120–200）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核心主题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科创出海 · 人工智能 · 具身智能 · 低空经济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活动形式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主论坛 + 板块分论坛 + 揭牌仪式 + 项目签约 + 国际对接酒会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规格目标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区委书记 / 区长出席；「一带一路」多国总领事出席；市级相关部门领导视情邀请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关键成果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成果发布 + 国际会议厅揭牌 + 项目签约 + 媒体传播矩阵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席位结构（200–300 人）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席别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人数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组成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主席台 / 前排贵宾席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30–40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区领导、市级嘉宾、总领事、揭牌对象代表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国际与外事席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40–50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领馆官员、海外园区、国际组织、翻译陪同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产业核心席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80–100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AI / 具身智能 / 低空重点企业与投资机构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生态与观察席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60–80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孵化器、高校、协会、媒体、服务机构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工作保障席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20–30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安保、外事、会务、宣传、医疗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合计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200–300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弹性控制在 300 人以内，保证规格与体验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五、场地建议（复兴岛）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必须在岛上办——这是政治象征与叙事完整性的底线。场地遴选标准：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政治象征：位于全球创客岛 / 量子城市实验基地核心启动区，便于领导视察动线。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国际接待：具备独立贵宾室、领事休息区、同声传译与安保动线。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规模匹配：主会场座席 250–350，可扩展分会场或户外仪式区。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展示条件：可布置成果展廊、具身智能演示区、低空/无人机静态展示。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交通保障：临近越江通道与公交接驳点；可设专车接送领事与区级领导。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A（首选）：全球创客岛核心启动区主会场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依托岛上已改造的大型工业厂房 / 发布会场馆，紧邻量子城市与具身智能实训展示区；适合「室内主论坛 + 户外/门厅揭牌」组合，政治象征最强。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容量：300–400 人　　优势：叙事完整、动线短、便于成果展与揭牌同场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B：复兴岛滨江会客厅型场地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选择滨江可视面良好的多功能厅，强化「江海交汇、全球开放」视觉；适合国际会议厅揭牌与酒会，但产业演示空间相对受限。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容量：200–280 人　　优势：国际礼仪感强、媒体画面好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方案 C：主会场在岛 + 分论坛在周边科创载体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开幕式与揭牌在岛上主会场，下午分论坛分流至岛上孵化器 / 实训平台；适合规模冲到 300 人上限时的分流组织。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容量：主会场 200 + 分会场合计 100+　　优势：可同时展示多个载体落位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六、嘉宾阵容与邀约策略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政治规格与国际规格必须同时在场：区委区政府主要领导 +「一带一路」总领事亲自出席，才能形成「政绩答卷」所需的高位画面。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A 政要领导层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杨浦区委书记、区长（主致辞 / 揭牌）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分管副区长（科创 / 商务 / 建设）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视情邀请市级相关部门（规划资源、科委、商务、外办）领导出席或书面致辞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目标：抬升政治规格，形成区级主场答卷画面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B 国际领事层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「一带一路」重点国家驻沪总领事 6–10 位亲自出席（东南亚、中亚、中东、中东欧等轮动）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领团代表或总领事俱乐部相关协调机制支持邀约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国别推介与国际会议厅冠名国对应总领事优先出席揭牌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目标：全球化规格与国际合作落位的核心背书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C 产业与学术层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具身智能 / 机器人 / AI 大模型领军企业负责人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低空经济整机、运营与关键零部件企业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量子城市 / 空间智能相关实验室与高校代表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已入岛或意向入岛的孵化器、基金与出海服务机构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目标：内容专业度与项目签约质量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D 媒体与传播层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市级主流媒体、区融媒体中心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科技垂类媒体与国际传播渠道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活动官方摄影摄像与直播团队</w:t>
      </w:r>
    </w:p>
    <w:p>
      <w:pPr>
        <w:spacing w:after="16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目标：形成「领导可见、社会可感、国际可传」的传播闭环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邀约策略要点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外事路径：经区外办规范邀约，提前锁定揭牌国总领事本人出席。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领导路径：以「全球创客岛收官答卷 + 量子城市岛上实践」请示件报区主要领导。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产业路径：以场景合作与入岛政策吸引头部企业负责人，而非仅市场部门出席。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规模控制：宁缺毋滥，核心席质量优先于总人数冲高。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七、国际会议厅 / 会客厅揭牌落位计划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揭牌是本场活动区别于普通峰会的「硬成果」。建议采用「国家厅 + 片区厅 + 产业平台」组合，确保领导讲话与新闻通稿都有可指认的空间落位。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落位类型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数量建议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形式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价值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「某某国家」国际会议厅 / 国家会客厅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建议首批 2–3 个国家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空间冠名揭牌 + 合作备忘录 + 国别对接窗口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把领事资源固化为岛上常设国际合作界面，服务后续招商与出海。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「某某片区」国际会议厅 / 合作窗口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建议 1–2 个国内重点合作片区或海外园区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片区共建揭牌 + 双向飞地 / 离岸孵化机制发布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强化长三角 / 跨境园区联动，避免「只见活动不见落位」。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产业平台类揭牌（可选增强）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1–2 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具身智能实训联合实验室 / 低空经济应用验证中心 / 出海服务站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把大会从「仪式」升级为「平台」，便于写进年底总结。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落位原则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先锁意向、再上仪式：揭牌对象须在活动前完成协议文本与空间确认。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一国一厅、一厅一责：明确运营主体、年度活动频次与招商指标。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外事合规：领事出席与冠名事项提前报区外办 / 市外办指导。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媒体可感知：揭牌背板、铭牌、导视与宣传片同步备妥。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八、详细议程安排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日程以 2026 年 9 月 12 日（星期六 · 农历八月初二） 全天为基准设计；上午聚焦「政治规格 + 揭牌签约」，下午聚焦「产业深度 + 国际对接」。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8"/>
        <w:gridCol w:w="2408"/>
        <w:gridCol w:w="2408"/>
        <w:gridCol w:w="2408"/>
      </w:tblGrid>
      <w:tr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时间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环节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内容要点</w:t>
            </w:r>
          </w:p>
        </w:tc>
        <w:tc>
          <w:tcPr>
            <w:tcW w:type="dxa" w:w="2408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责任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08:30–09:20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签到 · 成果展廊开放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贵宾通道 / 领事接待 / 媒体采访位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会务组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09:20–09:30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开幕式 · 主持人开场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介绍出席领导与国际嘉宾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主持人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09:30–09:45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 / 区政府主要领导致辞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全球创客岛阶段性答卷与下一步部署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09:45–09:55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市级部门或特邀嘉宾致辞（视情）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 / 科创政策呼应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特邀领导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09:55–10:10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「一带一路」领事代表致辞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国际合作与科技出海期待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总领事代表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10:10–10:35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主旨成果发布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全球创客岛进展、量子城市岛上成果、具身智能平台进展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运营/专班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10:35–11:05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国际会议厅 / 会客厅揭牌仪式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国家厅 + 片区厅揭牌、铭牌落位、合影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区领导+领事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11:05–11:35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重点项目签约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入岛企业、出海合作、场景应用、基金/孵化器协议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区商务/科委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11:35–12:00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集体合影 · 媒体发布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领导—领事—企业三方同框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宣传组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12:00–13:30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工作午宴 / 领事与区领导闭门交流（可选）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小范围深度沟通，不做大型晚宴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外事组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平行分论坛 A：人工智能与空间智能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量子城市场景、大模型落地、企业路演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科委专班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平行分论坛 B：具身智能与低空经济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实训平台、场景合作、产业链对接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产业专班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13:30–15:00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平行分论坛 C：科创出海圆桌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分国别对接桌：领事 × 出海企业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商务/外事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15:00–15:20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茶歇 · 展示区体验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具身智能演示、低空静态展、成果互动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展示组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15:20–16:20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主论坛复会 · 高端对话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政产学研国际对话：如何把实验区变成全球节点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主持人</w:t>
            </w:r>
          </w:p>
        </w:tc>
      </w:tr>
      <w:tr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16:20–16:50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发布「下一阶段行动」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百日行动 / 年度国际活动日历 / 会客厅运营机制</w:t>
            </w:r>
          </w:p>
        </w:tc>
        <w:tc>
          <w:tcPr>
            <w:tcW w:type="dxa" w:w="2408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专班</w:t>
            </w:r>
          </w:p>
        </w:tc>
      </w:tr>
      <w:tr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16:50–17:30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国际对接酒会（轻社交）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领事—企业—园区自由对接；不安排大型晚宴</w:t>
            </w:r>
          </w:p>
        </w:tc>
        <w:tc>
          <w:tcPr>
            <w:tcW w:type="dxa" w:w="2408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会务组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九、组织架构与执行倒排期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组织架构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组别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职责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领导小组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区主要领导任顾问；分管副区长任组长；相关部门主要负责人为成员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综合协调组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方案统筹、日程锁定、领导活动安排、值班值守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外事礼宾组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领事邀约、报批、接待、翻译、礼品与位次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产业内容组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嘉宾演讲、分论坛、路演筛选、签约文本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空间落位组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会客厅选址装修、铭牌、揭牌流程、后续运营协议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宣传媒体组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主视觉、新闻通稿、直播、短视频、外宣口径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会务保障组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场地、安保、交通、医疗、餐饮、物料与应急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倒排期（自即日起）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节点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关键任务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T-50 天（7 月底前）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立项与专班成立；确定 9/12 主日期与 9/9 备选；启动外事报批窗口沟通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T-45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锁定主会场；形成揭牌候选国家/片区短名单；起草领导活动方案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T-40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正式外事报批材料报送；首轮总领事邀约函发出；市级嘉宾意向沟通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T-30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确认至少 2 个国家厅 + 1 个片区厅意向；签约项目清单初稿；主视觉定稿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T-21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总领事出席确认过半；分论坛嘉宾锁定；安保与交通方案报审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T-14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全要素彩排脚本；揭牌铭牌与背板进场；媒体邀请名单确认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T-7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最终出席名单与座次；同传设备联调；应急预案桌面推演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T-2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会场布置完成；领导与领事行程再确认；物料与演示设备验收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活动日 9/12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按议程执行；实时舆情与后勤指挥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T+3 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新闻通稿与短视频发布；领导汇报材料（一页纸 + 图文册）提交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T+14 天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会客厅运营启动会；签约项目跟踪台账；复盘报告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十、预算测算（示意）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成本项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预算(万元)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说明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场地租赁与基础改造/布置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8–15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含主会场、分会场、展廊；国企/区属载体可置换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舞台视听与同声传译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6–10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多语同传、大屏、直播机位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外事礼宾与接待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5–8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领事用车、休息室、伴手礼、翻译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揭牌空间与铭牌制作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4–8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首批会客厅基础形象与铭牌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物料视觉与印刷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3–5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主视觉、手册、胸卡、导视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餐饮茶歇与轻酒会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6–10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200–300 人；不做大型晚宴以控成本与风控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媒体传播与直播剪辑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3–6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通稿、短视频、摄影摄像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安保交通医疗应急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3–5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按大型涉外活动标准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执行团队与不可预见费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4–6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含机动 10%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合计（示意）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42–73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中值约 55 万；场地/接待置换后可压至 40 万上下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666666"/>
          <w:sz w:val="21"/>
        </w:rPr>
        <w:t>金额单位：人民币万元，仅供测算示意。可通过国资载体场地置换、企业赞助（冠名/展位/茶歇）、会客厅共建方分摊等方式降低区级现金支出。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十一、预期成效与 KPI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维度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量化目标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政治规格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区委书记或区长出席；分管副区长全程；形成可呈报市级的成果专报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国际出席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总领事亲自出席 ≥6 国；国际嘉宾占比可感知（建议 ≥15%）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揭牌落位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国家/片区国际会议厅揭牌 ≥3 个；配套运营协议签署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产业成果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现场签约 / 发布项目 ≥8 项；覆盖 AI、具身智能、低空、出海至少三类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规模体验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现场 200–300 人；核心席满座率 ≥90%；无重大后勤与外事事故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传播声量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市级以上媒体报道 ≥5 篇；短视频播放与政务新媒体矩阵同步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后续转化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T+30 日内落地至少 1 场国别对接或企业入岛跟进活动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十二、风险预案与下一步行动</w:t>
      </w:r>
    </w:p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主要风险与对策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1"/>
        <w:gridCol w:w="3211"/>
        <w:gridCol w:w="3211"/>
      </w:tblGrid>
      <w:tr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风险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对策</w:t>
            </w:r>
          </w:p>
        </w:tc>
        <w:tc>
          <w:tcPr>
            <w:tcW w:type="dxa" w:w="3211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等级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外事报批时限不足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立即按 9/12 倒排报批；同步准备 9/9 工作日预案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主要领导档期冲突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提前两周锁定；备选致辞领导与录像致辞方案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高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总领事出席人数不达预期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扩大邀约池至 12 国；接受公使/副总领事代出席并保证揭牌国本人到场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揭牌空间未完工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采用「仪式性揭牌 + 过渡空间」；铭牌可先落临时展陈区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涉外内容与口径风险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统一外宣口径；演讲稿预审；敏感议题禁入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周六企业与机关动员难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核心机关人员值班制；企业以「高规格国际对接」激励报名</w:t>
            </w:r>
          </w:p>
        </w:tc>
        <w:tc>
          <w:tcPr>
            <w:tcW w:type="dxa" w:w="3211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</w:t>
            </w:r>
          </w:p>
        </w:tc>
      </w:tr>
      <w:tr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天气与交通（滨江）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室内主会场兜底；专车接驳；暴雨应急预案</w:t>
            </w:r>
          </w:p>
        </w:tc>
        <w:tc>
          <w:tcPr>
            <w:tcW w:type="dxa" w:w="3211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低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0B3D91"/>
          <w:sz w:val="26"/>
        </w:rPr>
        <w:t>下一步行动（建议立即执行）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本周内：区领导专题会确认「9 月 12 日主日期 + 9 月 9 日备选」与活动正式命名。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3 日内：成立专班，明确综合、外事、产业、空间、宣传、会务六个组长。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1 周内：锁定主会场与首批 3 个揭牌对象（2 国 + 1 片区）谈判文本。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10 日内：发出总领事邀约与市级嘉宾沟通函；启动外事报批。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color w:val="1B2A44"/>
          <w:sz w:val="21"/>
        </w:rPr>
        <w:t>同步：完成主视觉与「一页纸」请示件，供区主要领导决策。</w:t>
      </w:r>
    </w:p>
    <w:p>
      <w:pPr>
        <w:pStyle w:val="Heading1"/>
      </w:pPr>
      <w:r>
        <w:rPr>
          <w:rFonts w:ascii="微软雅黑" w:hAnsi="微软雅黑" w:eastAsia="微软雅黑"/>
          <w:b/>
          <w:color w:val="0B3D91"/>
          <w:sz w:val="32"/>
        </w:rPr>
        <w:t>附录：拟邀「一带一路」国家参考池</w:t>
      </w:r>
    </w:p>
    <w:p>
      <w:pPr>
        <w:spacing w:after="120" w:line="360" w:lineRule="auto"/>
      </w:pPr>
      <w:r>
        <w:rPr>
          <w:rFonts w:ascii="微软雅黑" w:hAnsi="微软雅黑" w:eastAsia="微软雅黑"/>
          <w:b w:val="0"/>
          <w:color w:val="1B2A44"/>
          <w:sz w:val="21"/>
        </w:rPr>
        <w:t>首场建议确认 6–10 国总领事出席；揭牌优先选择已有空间意向与经贸基础的国家。下表为参考池，最终名单以外事确认与揭牌谈判为准。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6"/>
        <w:gridCol w:w="4816"/>
      </w:tblGrid>
      <w:tr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国家</w:t>
            </w:r>
          </w:p>
        </w:tc>
        <w:tc>
          <w:tcPr>
            <w:tcW w:type="dxa" w:w="4816"/>
            <w:shd w:val="clear" w:color="auto" w:fill="0B3D91"/>
          </w:tcPr>
          <w:p>
            <w:r/>
            <w:r>
              <w:rPr>
                <w:rFonts w:ascii="微软雅黑" w:hAnsi="微软雅黑" w:eastAsia="微软雅黑"/>
                <w:b/>
                <w:color w:val="FFFFFF"/>
                <w:sz w:val="20"/>
              </w:rPr>
              <w:t>合作侧重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新加坡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总部经济、金融与数字贸易枢纽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马来西亚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电子制造、数据中心、清真经济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泰国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智能制造、新能源配套、消费市场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印度尼西亚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数字经济、资源与消费市场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越南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电子制造转移、供应链协同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阿联酋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中东枢纽、主权基金与科创投资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沙特阿拉伯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愿景 2030、智能城市与能源转型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哈萨克斯坦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中亚枢纽、「一带一路」陆路通道</w:t>
            </w:r>
          </w:p>
        </w:tc>
      </w:tr>
      <w:tr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塞尔维亚</w:t>
            </w:r>
          </w:p>
        </w:tc>
        <w:tc>
          <w:tcPr>
            <w:tcW w:type="dxa" w:w="4816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中东欧合作、制造与基建</w:t>
            </w:r>
          </w:p>
        </w:tc>
      </w:tr>
      <w:tr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匈牙利</w:t>
            </w:r>
          </w:p>
        </w:tc>
        <w:tc>
          <w:tcPr>
            <w:tcW w:type="dxa" w:w="4816"/>
            <w:shd w:val="clear" w:color="auto" w:fill="F2F6FA"/>
          </w:tcPr>
          <w:p>
            <w:r/>
            <w:r>
              <w:rPr>
                <w:rFonts w:ascii="微软雅黑" w:hAnsi="微软雅黑" w:eastAsia="微软雅黑"/>
                <w:b w:val="0"/>
                <w:color w:val="1B2A44"/>
                <w:sz w:val="19"/>
              </w:rPr>
              <w:t>中欧物流与电动车产业链</w:t>
            </w:r>
          </w:p>
        </w:tc>
      </w:tr>
    </w:tbl>
    <w:p/>
    <w:p>
      <w:pPr>
        <w:spacing w:after="120" w:line="360" w:lineRule="auto"/>
      </w:pPr>
      <w:r>
        <w:rPr>
          <w:rFonts w:ascii="微软雅黑" w:hAnsi="微软雅黑" w:eastAsia="微软雅黑"/>
          <w:b w:val="0"/>
          <w:sz w:val="21"/>
        </w:rPr>
      </w:r>
    </w:p>
    <w:p>
      <w:pPr>
        <w:spacing w:after="120" w:line="360" w:lineRule="auto"/>
        <w:jc w:val="center"/>
      </w:pPr>
      <w:r>
        <w:rPr>
          <w:rFonts w:ascii="微软雅黑" w:hAnsi="微软雅黑" w:eastAsia="微软雅黑"/>
          <w:b w:val="0"/>
          <w:color w:val="666666"/>
          <w:sz w:val="19"/>
        </w:rPr>
        <w:t>（本稿为策划建议稿，黄历信息供择日参考；最终以区领导决策、外事报批与现场执行方案为准。）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