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120" w:line="336" w:lineRule="auto"/>
        <w:jc w:val="center"/>
      </w:pPr>
      <w:r>
        <w:rPr>
          <w:rFonts w:ascii="Times New Roman" w:hAnsi="Times New Roman" w:eastAsia="楷体"/>
          <w:b w:val="0"/>
          <w:i w:val="0"/>
          <w:color w:val="9A7B12"/>
          <w:sz w:val="24"/>
        </w:rPr>
        <w:t>内部研究资料 · 决策参考</w:t>
      </w:r>
    </w:p>
    <w:p/>
    <w:p>
      <w:pPr>
        <w:spacing w:after="80" w:line="336" w:lineRule="auto"/>
        <w:jc w:val="center"/>
      </w:pPr>
      <w:r>
        <w:rPr>
          <w:rFonts w:ascii="Times New Roman" w:hAnsi="Times New Roman" w:eastAsia="黑体"/>
          <w:b/>
          <w:i w:val="0"/>
          <w:color w:val="0F2A43"/>
          <w:sz w:val="52"/>
        </w:rPr>
        <w:t>从“抢学位”到“选生态”</w:t>
      </w:r>
    </w:p>
    <w:p>
      <w:pPr>
        <w:spacing w:after="120" w:line="336" w:lineRule="auto"/>
        <w:jc w:val="center"/>
      </w:pPr>
      <w:r>
        <w:rPr>
          <w:rFonts w:ascii="Times New Roman" w:hAnsi="Times New Roman" w:eastAsia="黑体"/>
          <w:b/>
          <w:i w:val="0"/>
          <w:color w:val="0F2A43"/>
          <w:sz w:val="34"/>
        </w:rPr>
        <w:t>人口空心化导向的上海学区板块差异化配置深度研究报告</w:t>
      </w:r>
    </w:p>
    <w:p/>
    <w:p>
      <w:pPr>
        <w:spacing w:after="120" w:line="336" w:lineRule="auto"/>
        <w:jc w:val="center"/>
      </w:pPr>
      <w:r>
        <w:rPr>
          <w:rFonts w:ascii="Times New Roman" w:hAnsi="Times New Roman" w:eastAsia="楷体"/>
          <w:b w:val="0"/>
          <w:i w:val="0"/>
          <w:color w:val="5B6A7A"/>
          <w:sz w:val="26"/>
        </w:rPr>
        <w:t>——基于差异化选房纪要与全市 106 板块双源融合数据的实证分析</w:t>
      </w:r>
    </w:p>
    <w:p/>
    <w:p/>
    <w:p/>
    <w:p/>
    <w:p/>
    <w:p/>
    <w:p>
      <w:pPr>
        <w:spacing w:after="40" w:line="336" w:lineRule="auto"/>
        <w:jc w:val="center"/>
      </w:pPr>
      <w:r>
        <w:rPr>
          <w:rFonts w:ascii="Times New Roman" w:hAnsi="Times New Roman" w:eastAsia="黑体"/>
          <w:b/>
          <w:i w:val="0"/>
          <w:sz w:val="30"/>
        </w:rPr>
        <w:t>复旦大学住房政策研究中心团队</w:t>
      </w:r>
    </w:p>
    <w:p>
      <w:pPr>
        <w:spacing w:after="120" w:line="336" w:lineRule="auto"/>
        <w:jc w:val="center"/>
      </w:pPr>
      <w:r>
        <w:rPr>
          <w:rFonts w:ascii="Times New Roman" w:hAnsi="Times New Roman" w:eastAsia="楷体"/>
          <w:b w:val="0"/>
          <w:i w:val="0"/>
          <w:sz w:val="26"/>
        </w:rPr>
        <w:t>2026 年 8 月</w:t>
      </w:r>
    </w:p>
    <w:p/>
    <w:p>
      <w:pPr>
        <w:spacing w:after="120" w:line="336" w:lineRule="auto"/>
        <w:jc w:val="center"/>
      </w:pPr>
      <w:r>
        <w:rPr>
          <w:rFonts w:ascii="Times New Roman" w:hAnsi="Times New Roman" w:eastAsia="楷体"/>
          <w:b w:val="0"/>
          <w:i w:val="0"/>
          <w:color w:val="5B6A7A"/>
          <w:sz w:val="21"/>
        </w:rPr>
        <w:t>数据附件：《终表-上海板块学区融合总表-0805.xlsx》 《上海板块学区融合分析看板-0805.html》</w:t>
      </w:r>
    </w:p>
    <w:p>
      <w:r>
        <w:br w:type="page"/>
      </w:r>
    </w:p>
    <w:p>
      <w:pPr>
        <w:spacing w:before="360" w:after="200"/>
      </w:pPr>
      <w:r>
        <w:rPr>
          <w:rFonts w:ascii="Times New Roman" w:hAnsi="Times New Roman" w:eastAsia="黑体"/>
          <w:b/>
          <w:i w:val="0"/>
          <w:color w:val="0F2A43"/>
          <w:sz w:val="32"/>
        </w:rPr>
        <w:t>摘  要</w:t>
      </w:r>
    </w:p>
    <w:p>
      <w:pPr>
        <w:spacing w:after="120" w:line="336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本报告源于一项真实的家庭购房咨询：孩子将于 2027 年入读小学，家庭拟在上海购置学区房。咨询纪要给出了一条与传统投资逻辑截然相反的差异化选房主线——购房目标是孩子的优质学位资格，而非房产增值；应避开新上海人集中导入的新区，转向人口空心化、学校配套容量富余的老板块。本报告以该纪要为策略样本，以其与《上海板块学区融合分析》双源融合形成的 106 个板块评估数据为实证底座，系统回答三个问题：上海升学竞争的真正难点在哪里；竞争压力在板块间如何分布、由何种人口机制生成；在 2027 年入学的时间硬约束下，应当选哪些板块、以何种次序与策略购置。</w:t>
      </w:r>
    </w:p>
    <w:p>
      <w:pPr>
        <w:spacing w:after="120" w:line="336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研究发现：（一）上海高考本科录取率约 88%，约为山东（33.6%）的 2.6 倍，升学主矛盾不在高考而在初升高，学区房的功能边界是义务教育阶段的“入场券”，无法锁定高中；（二）升学竞争的空间分异由人口导入机制决定——新上海人导入新区适龄儿童集中出生，对口校普遍触发超额排序；而老城厢动迁、老龄化形成的“学校在、人口出”空心化板块，人户一致即可稳定入学，存在显著的“确定性溢价”；（三）双源融合评估显示，106 个样本板块中仅 15 个获“强烈推荐”（黄浦 8 个、杨浦 2 个、浦东/虹口/普陀/长宁各 1 个层级分布），47 个被策略性排除，排除比例高达 44%，差异化策略本质上是“做减法”；（四）浦东潍坊新村是全市近郊中唯一的“双源一致”优选例外，200–300 万元总价锚点与明珠小学对口构成纪要的落点方案；（五）复旦附属九年一贯制（徐汇/闵行）虽质量优良，但“户籍房产一致且提前约 3 年落户”的报名条件与 2027 年入学时间不匹配，属于典型的“质量高、不可及”选项。</w:t>
      </w:r>
    </w:p>
    <w:p>
      <w:pPr>
        <w:spacing w:after="120" w:line="336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报告建议：以“先小学、后初中”的分步购置替代一步到位；总价锚定 200–350 万元区间控制下行周期损失敞口；按“潍坊新村（世纪大道南）→杨浦鞍山/滨江→黄浦老城厢→虹口/曹杨次优观察”的动线看房；购置前逐项核验五年一户、入户年限预警与人户一致条件。从住房政策视角看，本案例揭示的核心问题是人口结构与义务教育资源的空间错配，旧改流出板块的存量学位资源具有显著的再配置价值。</w:t>
      </w:r>
    </w:p>
    <w:p>
      <w:pPr>
        <w:spacing w:before="120"/>
      </w:pPr>
      <w:r>
        <w:rPr>
          <w:rFonts w:ascii="Times New Roman" w:hAnsi="Times New Roman" w:eastAsia="黑体"/>
          <w:b/>
          <w:i w:val="0"/>
          <w:sz w:val="24"/>
        </w:rPr>
        <w:t>关键词：</w:t>
      </w:r>
      <w:r>
        <w:rPr>
          <w:rFonts w:ascii="Times New Roman" w:hAnsi="Times New Roman" w:eastAsia="楷体"/>
          <w:b w:val="0"/>
          <w:i w:val="0"/>
          <w:sz w:val="24"/>
        </w:rPr>
        <w:t>学区房；人口空心化；差异化选房；入学竞争；义务教育资源空间配置；上海</w:t>
      </w:r>
    </w:p>
    <w:p>
      <w:r>
        <w:br w:type="page"/>
      </w:r>
    </w:p>
    <w:p>
      <w:pPr>
        <w:spacing w:before="360" w:after="200"/>
      </w:pPr>
      <w:r>
        <w:rPr>
          <w:rFonts w:ascii="Times New Roman" w:hAnsi="Times New Roman" w:eastAsia="黑体"/>
          <w:b/>
          <w:i w:val="0"/>
          <w:color w:val="0F2A43"/>
          <w:sz w:val="32"/>
        </w:rPr>
        <w:t>目  录</w:t>
      </w:r>
    </w:p>
    <w:p>
      <w:pPr>
        <w:spacing w:after="120"/>
        <w:ind w:left="240"/>
      </w:pPr>
      <w:r>
        <w:rPr>
          <w:rFonts w:ascii="Times New Roman" w:hAnsi="Times New Roman" w:eastAsia="宋体"/>
          <w:b w:val="0"/>
          <w:i w:val="0"/>
          <w:sz w:val="25"/>
        </w:rPr>
        <w:t>一、研究背景与问题提出</w:t>
      </w:r>
    </w:p>
    <w:p>
      <w:pPr>
        <w:spacing w:after="120"/>
        <w:ind w:left="240"/>
      </w:pPr>
      <w:r>
        <w:rPr>
          <w:rFonts w:ascii="Times New Roman" w:hAnsi="Times New Roman" w:eastAsia="宋体"/>
          <w:b w:val="0"/>
          <w:i w:val="0"/>
          <w:sz w:val="25"/>
        </w:rPr>
        <w:t>二、上海升学竞争的制度结构：主矛盾在初升高</w:t>
      </w:r>
    </w:p>
    <w:p>
      <w:pPr>
        <w:spacing w:after="120"/>
        <w:ind w:left="240"/>
      </w:pPr>
      <w:r>
        <w:rPr>
          <w:rFonts w:ascii="Times New Roman" w:hAnsi="Times New Roman" w:eastAsia="宋体"/>
          <w:b w:val="0"/>
          <w:i w:val="0"/>
          <w:sz w:val="25"/>
        </w:rPr>
        <w:t>三、差异化选房的理论框架：人口空心化逻辑</w:t>
      </w:r>
    </w:p>
    <w:p>
      <w:pPr>
        <w:spacing w:after="120"/>
        <w:ind w:left="240"/>
      </w:pPr>
      <w:r>
        <w:rPr>
          <w:rFonts w:ascii="Times New Roman" w:hAnsi="Times New Roman" w:eastAsia="宋体"/>
          <w:b w:val="0"/>
          <w:i w:val="0"/>
          <w:sz w:val="25"/>
        </w:rPr>
        <w:t>四、数据与方法：双源融合的板块评估体系</w:t>
      </w:r>
    </w:p>
    <w:p>
      <w:pPr>
        <w:spacing w:after="120"/>
        <w:ind w:left="240"/>
      </w:pPr>
      <w:r>
        <w:rPr>
          <w:rFonts w:ascii="Times New Roman" w:hAnsi="Times New Roman" w:eastAsia="宋体"/>
          <w:b w:val="0"/>
          <w:i w:val="0"/>
          <w:sz w:val="25"/>
        </w:rPr>
        <w:t>五、全市板块融合评估结果</w:t>
      </w:r>
    </w:p>
    <w:p>
      <w:pPr>
        <w:spacing w:after="120"/>
        <w:ind w:left="240"/>
      </w:pPr>
      <w:r>
        <w:rPr>
          <w:rFonts w:ascii="Times New Roman" w:hAnsi="Times New Roman" w:eastAsia="宋体"/>
          <w:b w:val="0"/>
          <w:i w:val="0"/>
          <w:sz w:val="25"/>
        </w:rPr>
        <w:t>六、重点推荐板块深度剖析</w:t>
      </w:r>
    </w:p>
    <w:p>
      <w:pPr>
        <w:spacing w:after="120"/>
        <w:ind w:left="240"/>
      </w:pPr>
      <w:r>
        <w:rPr>
          <w:rFonts w:ascii="Times New Roman" w:hAnsi="Times New Roman" w:eastAsia="宋体"/>
          <w:b w:val="0"/>
          <w:i w:val="0"/>
          <w:sz w:val="25"/>
        </w:rPr>
        <w:t>七、排除与谨慎区域的竞争机制分析</w:t>
      </w:r>
    </w:p>
    <w:p>
      <w:pPr>
        <w:spacing w:after="120"/>
        <w:ind w:left="240"/>
      </w:pPr>
      <w:r>
        <w:rPr>
          <w:rFonts w:ascii="Times New Roman" w:hAnsi="Times New Roman" w:eastAsia="宋体"/>
          <w:b w:val="0"/>
          <w:i w:val="0"/>
          <w:sz w:val="25"/>
        </w:rPr>
        <w:t>八、分步购置策略与政策适配</w:t>
      </w:r>
    </w:p>
    <w:p>
      <w:pPr>
        <w:spacing w:after="120"/>
        <w:ind w:left="240"/>
      </w:pPr>
      <w:r>
        <w:rPr>
          <w:rFonts w:ascii="Times New Roman" w:hAnsi="Times New Roman" w:eastAsia="宋体"/>
          <w:b w:val="0"/>
          <w:i w:val="0"/>
          <w:sz w:val="25"/>
        </w:rPr>
        <w:t>九、市场周期与购置时机的权衡</w:t>
      </w:r>
    </w:p>
    <w:p>
      <w:pPr>
        <w:spacing w:after="120"/>
        <w:ind w:left="240"/>
      </w:pPr>
      <w:r>
        <w:rPr>
          <w:rFonts w:ascii="Times New Roman" w:hAnsi="Times New Roman" w:eastAsia="宋体"/>
          <w:b w:val="0"/>
          <w:i w:val="0"/>
          <w:sz w:val="25"/>
        </w:rPr>
        <w:t>十、主要结论与研究启示</w:t>
      </w:r>
    </w:p>
    <w:p>
      <w:pPr>
        <w:spacing w:after="120"/>
        <w:ind w:left="240"/>
      </w:pPr>
      <w:r>
        <w:rPr>
          <w:rFonts w:ascii="Times New Roman" w:hAnsi="Times New Roman" w:eastAsia="宋体"/>
          <w:b w:val="0"/>
          <w:i w:val="0"/>
          <w:sz w:val="25"/>
        </w:rPr>
        <w:t>附录 A　本轮入选看房清单（18 板块）</w:t>
      </w:r>
    </w:p>
    <w:p>
      <w:pPr>
        <w:spacing w:after="120"/>
        <w:ind w:left="240"/>
      </w:pPr>
      <w:r>
        <w:rPr>
          <w:rFonts w:ascii="Times New Roman" w:hAnsi="Times New Roman" w:eastAsia="宋体"/>
          <w:b w:val="0"/>
          <w:i w:val="0"/>
          <w:sz w:val="25"/>
        </w:rPr>
        <w:t>附录 B　购房决策核验清单</w:t>
      </w:r>
    </w:p>
    <w:p>
      <w:pPr>
        <w:spacing w:after="120"/>
        <w:ind w:left="240"/>
      </w:pPr>
      <w:r>
        <w:rPr>
          <w:rFonts w:ascii="Times New Roman" w:hAnsi="Times New Roman" w:eastAsia="宋体"/>
          <w:b w:val="0"/>
          <w:i w:val="0"/>
          <w:sz w:val="25"/>
        </w:rPr>
        <w:t>附录 C　数据来源、方法与免责声明</w:t>
      </w:r>
    </w:p>
    <w:p>
      <w:r>
        <w:br w:type="page"/>
      </w:r>
    </w:p>
    <w:p>
      <w:pPr>
        <w:spacing w:before="360" w:after="200"/>
      </w:pPr>
      <w:r>
        <w:rPr>
          <w:rFonts w:ascii="Times New Roman" w:hAnsi="Times New Roman" w:eastAsia="黑体"/>
          <w:b/>
          <w:i w:val="0"/>
          <w:color w:val="0F2A43"/>
          <w:sz w:val="32"/>
        </w:rPr>
        <w:t>一、研究背景与问题提出</w:t>
      </w:r>
    </w:p>
    <w:p>
      <w:pPr>
        <w:spacing w:before="240" w:after="120"/>
      </w:pPr>
      <w:r>
        <w:rPr>
          <w:rFonts w:ascii="Times New Roman" w:hAnsi="Times New Roman" w:eastAsia="黑体"/>
          <w:b/>
          <w:i w:val="0"/>
          <w:color w:val="0F2A43"/>
          <w:sz w:val="27"/>
        </w:rPr>
        <w:t>1.1 购房目标的澄清：学位资格，而非资产增值</w:t>
      </w:r>
    </w:p>
    <w:p>
      <w:pPr>
        <w:spacing w:after="120" w:line="336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本项咨询的第一句话就值得记录：购房者几乎本能地以投资逻辑提问——哪个板块会涨、哪套房子保值。纪要首先完成的，是对目标函数的澄清：本次购房的核心目的，是让孩子获得优质的上学资格，而非投资房产增值。这一澄清看似朴素，却是全部分析的支点——目标函数不同，最优解的搜索空间完全不同。</w:t>
      </w:r>
    </w:p>
    <w:p>
      <w:pPr>
        <w:spacing w:after="120" w:line="336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传统房地产投资逻辑下，人口持续导入的一线板块是好资产：需求旺盛、换手活跃、增值预期强。但放在升学的坐标系里，人口导入恰恰意味着适龄儿童集中出生、对口学校学位紧张、入户年限排序越排越后——投资逻辑眼里的“好板块”，正是学位逻辑眼里的“卷板块”。两套逻辑在板块选择上几乎互为镜像。本报告所称“差异化选房”，即是以学位逻辑重新定义板块价值。</w:t>
      </w:r>
    </w:p>
    <w:p>
      <w:pPr>
        <w:spacing w:before="240" w:after="120"/>
      </w:pPr>
      <w:r>
        <w:rPr>
          <w:rFonts w:ascii="Times New Roman" w:hAnsi="Times New Roman" w:eastAsia="黑体"/>
          <w:b/>
          <w:i w:val="0"/>
          <w:color w:val="0F2A43"/>
          <w:sz w:val="27"/>
        </w:rPr>
        <w:t>1.2 案例情境与约束条件</w:t>
      </w:r>
    </w:p>
    <w:p>
      <w:pPr>
        <w:spacing w:after="80" w:line="336" w:lineRule="auto"/>
        <w:ind w:left="420" w:firstLine="0"/>
      </w:pPr>
      <w:r>
        <w:rPr>
          <w:rFonts w:ascii="Times New Roman" w:hAnsi="Times New Roman" w:eastAsia="宋体"/>
          <w:b w:val="0"/>
          <w:i w:val="0"/>
          <w:color w:val="9A7B12"/>
          <w:sz w:val="21"/>
        </w:rPr>
        <w:t xml:space="preserve">● </w:t>
      </w:r>
      <w:r>
        <w:rPr>
          <w:rFonts w:ascii="Times New Roman" w:hAnsi="Times New Roman" w:eastAsia="宋体"/>
          <w:b/>
          <w:i w:val="0"/>
          <w:sz w:val="24"/>
        </w:rPr>
        <w:t>时间约束：</w:t>
      </w:r>
      <w:r>
        <w:rPr>
          <w:rFonts w:ascii="Times New Roman" w:hAnsi="Times New Roman" w:eastAsia="宋体"/>
          <w:b w:val="0"/>
          <w:i w:val="0"/>
          <w:sz w:val="24"/>
        </w:rPr>
        <w:t>家庭子女已确定幼儿园，2027 年入读小学，需在此前完成购房与落户；</w:t>
      </w:r>
    </w:p>
    <w:p>
      <w:pPr>
        <w:spacing w:after="80" w:line="336" w:lineRule="auto"/>
        <w:ind w:left="420" w:firstLine="0"/>
      </w:pPr>
      <w:r>
        <w:rPr>
          <w:rFonts w:ascii="Times New Roman" w:hAnsi="Times New Roman" w:eastAsia="宋体"/>
          <w:b w:val="0"/>
          <w:i w:val="0"/>
          <w:color w:val="9A7B12"/>
          <w:sz w:val="21"/>
        </w:rPr>
        <w:t xml:space="preserve">● </w:t>
      </w:r>
      <w:r>
        <w:rPr>
          <w:rFonts w:ascii="Times New Roman" w:hAnsi="Times New Roman" w:eastAsia="宋体"/>
          <w:b/>
          <w:i w:val="0"/>
          <w:sz w:val="24"/>
        </w:rPr>
        <w:t>户籍路径：</w:t>
      </w:r>
      <w:r>
        <w:rPr>
          <w:rFonts w:ascii="Times New Roman" w:hAnsi="Times New Roman" w:eastAsia="宋体"/>
          <w:b w:val="0"/>
          <w:i w:val="0"/>
          <w:sz w:val="24"/>
        </w:rPr>
        <w:t>孩子高考前落上海户口即可，高考环节不构成约束；约束集中在义务教育阶段，尤其是小学入学；</w:t>
      </w:r>
    </w:p>
    <w:p>
      <w:pPr>
        <w:spacing w:after="80" w:line="336" w:lineRule="auto"/>
        <w:ind w:left="420" w:firstLine="0"/>
      </w:pPr>
      <w:r>
        <w:rPr>
          <w:rFonts w:ascii="Times New Roman" w:hAnsi="Times New Roman" w:eastAsia="宋体"/>
          <w:b w:val="0"/>
          <w:i w:val="0"/>
          <w:color w:val="9A7B12"/>
          <w:sz w:val="21"/>
        </w:rPr>
        <w:t xml:space="preserve">● </w:t>
      </w:r>
      <w:r>
        <w:rPr>
          <w:rFonts w:ascii="Times New Roman" w:hAnsi="Times New Roman" w:eastAsia="宋体"/>
          <w:b/>
          <w:i w:val="0"/>
          <w:sz w:val="24"/>
        </w:rPr>
        <w:t>预算锚点：</w:t>
      </w:r>
      <w:r>
        <w:rPr>
          <w:rFonts w:ascii="Times New Roman" w:hAnsi="Times New Roman" w:eastAsia="宋体"/>
          <w:b w:val="0"/>
          <w:i w:val="0"/>
          <w:sz w:val="24"/>
        </w:rPr>
        <w:t>纪要推荐锚点为 200–300 万元总价（潍坊新村老破小价位段），属“低总价学位期权”而非改善型置业；</w:t>
      </w:r>
    </w:p>
    <w:p>
      <w:pPr>
        <w:spacing w:after="80" w:line="336" w:lineRule="auto"/>
        <w:ind w:left="420" w:firstLine="0"/>
      </w:pPr>
      <w:r>
        <w:rPr>
          <w:rFonts w:ascii="Times New Roman" w:hAnsi="Times New Roman" w:eastAsia="宋体"/>
          <w:b w:val="0"/>
          <w:i w:val="0"/>
          <w:color w:val="9A7B12"/>
          <w:sz w:val="21"/>
        </w:rPr>
        <w:t xml:space="preserve">● </w:t>
      </w:r>
      <w:r>
        <w:rPr>
          <w:rFonts w:ascii="Times New Roman" w:hAnsi="Times New Roman" w:eastAsia="宋体"/>
          <w:b/>
          <w:i w:val="0"/>
          <w:sz w:val="24"/>
        </w:rPr>
        <w:t>资格约束：</w:t>
      </w:r>
      <w:r>
        <w:rPr>
          <w:rFonts w:ascii="Times New Roman" w:hAnsi="Times New Roman" w:eastAsia="宋体"/>
          <w:b w:val="0"/>
          <w:i w:val="0"/>
          <w:sz w:val="24"/>
        </w:rPr>
        <w:t>复旦附属九年一贯制等要求提前约 3 年落户的选项，因时间不可达而被制度性排除。</w:t>
      </w:r>
    </w:p>
    <w:p>
      <w:pPr>
        <w:spacing w:before="240" w:after="120"/>
      </w:pPr>
      <w:r>
        <w:rPr>
          <w:rFonts w:ascii="Times New Roman" w:hAnsi="Times New Roman" w:eastAsia="黑体"/>
          <w:b/>
          <w:i w:val="0"/>
          <w:color w:val="0F2A43"/>
          <w:sz w:val="27"/>
        </w:rPr>
        <w:t>1.3 研究问题与分析框架</w:t>
      </w:r>
    </w:p>
    <w:p>
      <w:pPr>
        <w:spacing w:after="120" w:line="336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围绕上述情境，本报告依次回答三个问题：Q1（制度环境）——上海升学竞争的真实难度结构是什么，买房能解决哪一段、不能解决哪一段？Q2（空间机制）——升学竞争压力在全市板块间如何分布，由什么人口机制生成，哪些板块存在“低竞争学位”？Q3（决策方案）——在 Q1、Q2 的约束下，应筛选出哪些板块、按什么次序看房、以什么策略分步购置？第二至四部分回答 Q1 与 Q2 的理论与数据基础，第五至七部分给出 Q2 的实证结果，第八、九部分收敛为 Q3 的行动方案。</w:t>
      </w:r>
    </w:p>
    <w:p>
      <w:pPr>
        <w:spacing w:before="360" w:after="200"/>
      </w:pPr>
      <w:r>
        <w:rPr>
          <w:rFonts w:ascii="Times New Roman" w:hAnsi="Times New Roman" w:eastAsia="黑体"/>
          <w:b/>
          <w:i w:val="0"/>
          <w:color w:val="0F2A43"/>
          <w:sz w:val="32"/>
        </w:rPr>
        <w:t>二、上海升学竞争的制度结构：主矛盾在初升高</w:t>
      </w:r>
    </w:p>
    <w:p>
      <w:pPr>
        <w:spacing w:before="240" w:after="120"/>
      </w:pPr>
      <w:r>
        <w:rPr>
          <w:rFonts w:ascii="Times New Roman" w:hAnsi="Times New Roman" w:eastAsia="黑体"/>
          <w:b/>
          <w:i w:val="0"/>
          <w:color w:val="0F2A43"/>
          <w:sz w:val="27"/>
        </w:rPr>
        <w:t>2.1 高考端：省际比较下的“上海红利”</w:t>
      </w:r>
    </w:p>
    <w:p>
      <w:pPr>
        <w:spacing w:after="120" w:line="336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上海高考本科录取率约 88%，而人口大省山东约为 33.6%，前者约为后者的 2.6 倍。这意味着，只要孩子在高考前落下上海户口、在上海参加高考，本科升学在统计意义上“不成问题”。高考环节因此不构成购房决策的约束条件——它是本案例中最不需要焦虑的一段。</w:t>
      </w:r>
    </w:p>
    <w:p>
      <w:pPr>
        <w:spacing w:before="240" w:after="120"/>
      </w:pPr>
      <w:r>
        <w:rPr>
          <w:rFonts w:ascii="Times New Roman" w:hAnsi="Times New Roman" w:eastAsia="黑体"/>
          <w:b/>
          <w:i w:val="0"/>
          <w:color w:val="0F2A43"/>
          <w:sz w:val="27"/>
        </w:rPr>
        <w:t>2.2 主矛盾：初中升高中</w:t>
      </w:r>
    </w:p>
    <w:p>
      <w:pPr>
        <w:spacing w:after="120" w:line="336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上海升学链条的真正瓶颈在初升高。中考普高录取率显著低于高考本科录取率，且 2022 年起全面实施的名额分配综合评价录取改革，使“报名所在区”的竞争生态成为关键变量：市实验性示范性高中约 65% 的名额分配计划按区投档，区与区之间的分数线差异明显；名额分配到校则要求在不选择生源的初中在籍在读满 3 年，校内竞争、弱校亦可能冲市重点。由此，初中阶段的“区选择”和“校选择”共同决定了中考难度——这正是小学阶段布局时就要通盘考虑初中路径的原因。</w:t>
      </w:r>
    </w:p>
    <w:p>
      <w:pPr>
        <w:spacing w:before="240" w:after="120"/>
      </w:pPr>
      <w:r>
        <w:rPr>
          <w:rFonts w:ascii="Times New Roman" w:hAnsi="Times New Roman" w:eastAsia="黑体"/>
          <w:b/>
          <w:i w:val="0"/>
          <w:color w:val="0F2A43"/>
          <w:sz w:val="27"/>
        </w:rPr>
        <w:t>2.3 三阶段入学机制与购房变量</w:t>
      </w:r>
    </w:p>
    <w:p>
      <w:pPr>
        <w:spacing w:after="120" w:line="336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义务教育阶段三个学段的入学机制差异，决定了学区房“能买什么、买不着什么”：</w:t>
      </w:r>
    </w:p>
    <w:p>
      <w:pPr>
        <w:spacing w:before="160" w:after="80"/>
        <w:jc w:val="center"/>
      </w:pPr>
      <w:r>
        <w:rPr>
          <w:rFonts w:ascii="Times New Roman" w:hAnsi="Times New Roman" w:eastAsia="黑体"/>
          <w:b/>
          <w:i w:val="0"/>
          <w:color w:val="0F2A43"/>
          <w:sz w:val="21"/>
        </w:rPr>
        <w:t>表 2-1　上海升学三阶段机制与购房变量对照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964"/>
            <w:shd w:val="clear" w:fill="0F2A4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FFFFFF"/>
                <w:sz w:val="21"/>
              </w:rPr>
              <w:t>阶段</w:t>
            </w:r>
          </w:p>
        </w:tc>
        <w:tc>
          <w:tcPr>
            <w:tcW w:type="dxa" w:w="1928"/>
            <w:shd w:val="clear" w:fill="0F2A4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FFFFFF"/>
                <w:sz w:val="21"/>
              </w:rPr>
              <w:t>入学/录取逻辑</w:t>
            </w:r>
          </w:p>
        </w:tc>
        <w:tc>
          <w:tcPr>
            <w:tcW w:type="dxa" w:w="2041"/>
            <w:shd w:val="clear" w:fill="0F2A4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FFFFFF"/>
                <w:sz w:val="21"/>
              </w:rPr>
              <w:t>关键机制</w:t>
            </w:r>
          </w:p>
        </w:tc>
        <w:tc>
          <w:tcPr>
            <w:tcW w:type="dxa" w:w="2268"/>
            <w:shd w:val="clear" w:fill="0F2A4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FFFFFF"/>
                <w:sz w:val="21"/>
              </w:rPr>
              <w:t>购房最相关变量</w:t>
            </w:r>
          </w:p>
        </w:tc>
        <w:tc>
          <w:tcPr>
            <w:tcW w:type="dxa" w:w="1757"/>
            <w:shd w:val="clear" w:fill="0F2A4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FFFFFF"/>
                <w:sz w:val="21"/>
              </w:rPr>
              <w:t>本案例策略位置</w:t>
            </w:r>
          </w:p>
        </w:tc>
      </w:tr>
      <w:tr>
        <w:tc>
          <w:tcPr>
            <w:tcW w:type="dxa" w:w="96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幼升小</w:t>
            </w:r>
          </w:p>
        </w:tc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免试就近；人户一致优先</w:t>
            </w:r>
          </w:p>
        </w:tc>
        <w:tc>
          <w:tcPr>
            <w:tcW w:type="dxa" w:w="204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公民办二选一；民办超额摇号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人户一致＋入户年限＋五年一户</w:t>
            </w:r>
          </w:p>
        </w:tc>
        <w:tc>
          <w:tcPr>
            <w:tcW w:type="dxa" w:w="175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现在必须解决（2027 年入学）</w:t>
            </w:r>
          </w:p>
        </w:tc>
      </w:tr>
      <w:tr>
        <w:tc>
          <w:tcPr>
            <w:tcW w:type="dxa" w:w="964"/>
            <w:shd w:val="clear" w:fill="F2F5F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小升初</w:t>
            </w:r>
          </w:p>
        </w:tc>
        <w:tc>
          <w:tcPr>
            <w:tcW w:type="dxa" w:w="1928"/>
            <w:shd w:val="clear" w:fill="F2F5F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对口 / 派位 / 回户籍</w:t>
            </w:r>
          </w:p>
        </w:tc>
        <w:tc>
          <w:tcPr>
            <w:tcW w:type="dxa" w:w="2041"/>
            <w:shd w:val="clear" w:fill="F2F5F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公民办同步；民办摇号</w:t>
            </w:r>
          </w:p>
        </w:tc>
        <w:tc>
          <w:tcPr>
            <w:tcW w:type="dxa" w:w="2268"/>
            <w:shd w:val="clear" w:fill="F2F5F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学籍对口区小学几乎绑定初中</w:t>
            </w:r>
          </w:p>
        </w:tc>
        <w:tc>
          <w:tcPr>
            <w:tcW w:type="dxa" w:w="1757"/>
            <w:shd w:val="clear" w:fill="F2F5F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可分步：小学后再置换</w:t>
            </w:r>
          </w:p>
        </w:tc>
      </w:tr>
      <w:tr>
        <w:tc>
          <w:tcPr>
            <w:tcW w:type="dxa" w:w="96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中  考</w:t>
            </w:r>
          </w:p>
        </w:tc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全市统考＋分批次录取</w:t>
            </w:r>
          </w:p>
        </w:tc>
        <w:tc>
          <w:tcPr>
            <w:tcW w:type="dxa" w:w="204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自招→名额分配→统一招生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报名区竞争生态与名额结构</w:t>
            </w:r>
          </w:p>
        </w:tc>
        <w:tc>
          <w:tcPr>
            <w:tcW w:type="dxa" w:w="175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不必用学区房锁定高中</w:t>
            </w:r>
          </w:p>
        </w:tc>
      </w:tr>
    </w:tbl>
    <w:p>
      <w:pPr>
        <w:spacing w:after="40"/>
      </w:pPr>
    </w:p>
    <w:p>
      <w:pPr>
        <w:spacing w:after="80" w:line="336" w:lineRule="auto"/>
        <w:ind w:left="420" w:firstLine="0"/>
      </w:pPr>
      <w:r>
        <w:rPr>
          <w:rFonts w:ascii="Times New Roman" w:hAnsi="Times New Roman" w:eastAsia="宋体"/>
          <w:b w:val="0"/>
          <w:i w:val="0"/>
          <w:color w:val="9A7B12"/>
          <w:sz w:val="21"/>
        </w:rPr>
        <w:t xml:space="preserve">● </w:t>
      </w:r>
      <w:r>
        <w:rPr>
          <w:rFonts w:ascii="Times New Roman" w:hAnsi="Times New Roman" w:eastAsia="宋体"/>
          <w:b w:val="0"/>
          <w:i w:val="0"/>
          <w:sz w:val="24"/>
        </w:rPr>
        <w:t>幼升小实行“免试就近入学”，公办按户籍与对口地段录取，人户一致为最优类别；热门校超额时按入户年限、房产登记时间等排序，排序靠后者面临统筹调剂；</w:t>
      </w:r>
    </w:p>
    <w:p>
      <w:pPr>
        <w:spacing w:after="80" w:line="336" w:lineRule="auto"/>
        <w:ind w:left="420" w:firstLine="0"/>
      </w:pPr>
      <w:r>
        <w:rPr>
          <w:rFonts w:ascii="Times New Roman" w:hAnsi="Times New Roman" w:eastAsia="宋体"/>
          <w:b w:val="0"/>
          <w:i w:val="0"/>
          <w:color w:val="9A7B12"/>
          <w:sz w:val="21"/>
        </w:rPr>
        <w:t xml:space="preserve">● </w:t>
      </w:r>
      <w:r>
        <w:rPr>
          <w:rFonts w:ascii="Times New Roman" w:hAnsi="Times New Roman" w:eastAsia="宋体"/>
          <w:b w:val="0"/>
          <w:i w:val="0"/>
          <w:sz w:val="24"/>
        </w:rPr>
        <w:t>“五年一户”指同一地址五年内仅享一次同校对口入学机会，热门小学常见，购房前必须核验；</w:t>
      </w:r>
    </w:p>
    <w:p>
      <w:pPr>
        <w:spacing w:after="80" w:line="336" w:lineRule="auto"/>
        <w:ind w:left="420" w:firstLine="0"/>
      </w:pPr>
      <w:r>
        <w:rPr>
          <w:rFonts w:ascii="Times New Roman" w:hAnsi="Times New Roman" w:eastAsia="宋体"/>
          <w:b w:val="0"/>
          <w:i w:val="0"/>
          <w:color w:val="9A7B12"/>
          <w:sz w:val="21"/>
        </w:rPr>
        <w:t xml:space="preserve">● </w:t>
      </w:r>
      <w:r>
        <w:rPr>
          <w:rFonts w:ascii="Times New Roman" w:hAnsi="Times New Roman" w:eastAsia="宋体"/>
          <w:b w:val="0"/>
          <w:i w:val="0"/>
          <w:sz w:val="24"/>
        </w:rPr>
        <w:t>小升初全市分为三类区：学籍对口区（黄浦、杨浦、虹口、普陀等）、户籍对口区（浦东、闵行、宝山、嘉定、松江、青浦、奉贤、金山、崇明）、学籍＋派位区（徐汇、长宁、静安）；</w:t>
      </w:r>
    </w:p>
    <w:p>
      <w:pPr>
        <w:spacing w:after="80" w:line="336" w:lineRule="auto"/>
        <w:ind w:left="420" w:firstLine="0"/>
      </w:pPr>
      <w:r>
        <w:rPr>
          <w:rFonts w:ascii="Times New Roman" w:hAnsi="Times New Roman" w:eastAsia="宋体"/>
          <w:b w:val="0"/>
          <w:i w:val="0"/>
          <w:color w:val="9A7B12"/>
          <w:sz w:val="21"/>
        </w:rPr>
        <w:t xml:space="preserve">● </w:t>
      </w:r>
      <w:r>
        <w:rPr>
          <w:rFonts w:ascii="Times New Roman" w:hAnsi="Times New Roman" w:eastAsia="宋体"/>
          <w:b w:val="0"/>
          <w:i w:val="0"/>
          <w:sz w:val="24"/>
        </w:rPr>
        <w:t>中考为全市统考（总分 750，另设综合素质评价 50 分），按自主招生、名额分配综合评价、统一招生三个批次录取；学区房无法锁定任何高中。</w:t>
      </w:r>
    </w:p>
    <w:p>
      <w:pPr>
        <w:spacing w:before="240" w:after="120"/>
      </w:pPr>
      <w:r>
        <w:rPr>
          <w:rFonts w:ascii="Times New Roman" w:hAnsi="Times New Roman" w:eastAsia="黑体"/>
          <w:b/>
          <w:i w:val="0"/>
          <w:color w:val="0F2A43"/>
          <w:sz w:val="27"/>
        </w:rPr>
        <w:t>2.4 对购房决策的含义</w:t>
      </w:r>
    </w:p>
    <w:p>
      <w:pPr>
        <w:spacing w:after="120" w:line="336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学段优先级由此清晰：小学＞初中≫高中。高中靠统考，提前用学区房布局“没有意义”；初中重要但可分步解决；唯有小学，必须在 2027 年入学前以“房＋户”的方式一次性落定。纪要将问题压缩为一句话：当前只需解决小学、初中的学区，且不必一步到位。</w:t>
      </w:r>
    </w:p>
    <w:p>
      <w:pPr>
        <w:spacing w:before="360" w:after="200"/>
      </w:pPr>
      <w:r>
        <w:rPr>
          <w:rFonts w:ascii="Times New Roman" w:hAnsi="Times New Roman" w:eastAsia="黑体"/>
          <w:b/>
          <w:i w:val="0"/>
          <w:color w:val="0F2A43"/>
          <w:sz w:val="32"/>
        </w:rPr>
        <w:t>三、差异化选房的理论框架：人口空心化逻辑</w:t>
      </w:r>
    </w:p>
    <w:p>
      <w:pPr>
        <w:spacing w:before="240" w:after="120"/>
      </w:pPr>
      <w:r>
        <w:rPr>
          <w:rFonts w:ascii="Times New Roman" w:hAnsi="Times New Roman" w:eastAsia="黑体"/>
          <w:b/>
          <w:i w:val="0"/>
          <w:color w:val="0F2A43"/>
          <w:sz w:val="27"/>
        </w:rPr>
        <w:t>3.1 概念界定：“学校在、人口出”</w:t>
      </w:r>
    </w:p>
    <w:p>
      <w:pPr>
        <w:spacing w:after="120" w:line="336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本报告将“人口空心化板块”界定为：板块实际居住人口（尤其是学龄人口）明显少于其学校配套容量的区域。其典型形成机制有三：一是老城厢成片动迁，原住人口迁出而学校保留（黄浦老城厢、虹口北外滩）；二是原住民深度老龄化，适龄家庭占比持续走低（普陀曹杨、杨浦鞍山等工人新村）；三是商业、商务、旅游功能对居住功能的置换（黄浦外滩、南京东路）。三类机制的共同结果是——学校还在，孩子少了。</w:t>
      </w:r>
    </w:p>
    <w:p>
      <w:pPr>
        <w:spacing w:before="240" w:after="120"/>
      </w:pPr>
      <w:r>
        <w:rPr>
          <w:rFonts w:ascii="Times New Roman" w:hAnsi="Times New Roman" w:eastAsia="黑体"/>
          <w:b/>
          <w:i w:val="0"/>
          <w:color w:val="0F2A43"/>
          <w:sz w:val="27"/>
        </w:rPr>
        <w:t>3.2 竞争的生成机制：导入型新区的“生源挤压”</w:t>
      </w:r>
    </w:p>
    <w:p>
      <w:pPr>
        <w:spacing w:after="120" w:line="336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与空心化板块互为镜像的是新上海人导入型新区。这类板块在十年尺度上集中导入了处于婚育高峰的年轻家庭，适龄儿童“集中出生”，而学校建设与新校品牌培育存在时滞，供需缺口在入学高峰年份集中爆发：对口校触发超额排序，入户年限逐年抬升，“人户一致”也不再保险，统筹调剂风险外溢到普通购房者。纪要中的九亭即是典型——作为早期导入段位板块，其适龄儿童密度与升学“卷度”在全市样本中居于前列，综合评分 1.45，为 106 个样本的最低值。</w:t>
      </w:r>
    </w:p>
    <w:p>
      <w:pPr>
        <w:spacing w:before="240" w:after="120"/>
      </w:pPr>
      <w:r>
        <w:rPr>
          <w:rFonts w:ascii="Times New Roman" w:hAnsi="Times New Roman" w:eastAsia="黑体"/>
          <w:b/>
          <w:i w:val="0"/>
          <w:color w:val="0F2A43"/>
          <w:sz w:val="27"/>
        </w:rPr>
        <w:t>3.3 空心化板块的“确定性溢价”</w:t>
      </w:r>
    </w:p>
    <w:p>
      <w:pPr>
        <w:spacing w:after="120" w:line="336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空心化板块的价值不在于学校“排名更高”，而在于入学“确定性更强”：适龄生源少，对口校不易触发超额排序与统筹，人户一致基本可稳定入学。对购房者而言，这构成一种“确定性溢价”——以 200–300 万元的老破小总价，购买一张低波动、低尾部风险的学位入场券。本报告称之为“低总价学位期权”：行权价低（总价）、行权确定性高（不超额）、到期时间明确（入学年份），且附带的居住与流动性属性不差（内环地段、小户型易换手）。</w:t>
      </w:r>
    </w:p>
    <w:p>
      <w:pPr>
        <w:spacing w:before="240" w:after="120"/>
      </w:pPr>
      <w:r>
        <w:rPr>
          <w:rFonts w:ascii="Times New Roman" w:hAnsi="Times New Roman" w:eastAsia="黑体"/>
          <w:b/>
          <w:i w:val="0"/>
          <w:color w:val="0F2A43"/>
          <w:sz w:val="27"/>
        </w:rPr>
        <w:t>3.4 框架的可证伪性与边界</w:t>
      </w:r>
    </w:p>
    <w:p>
      <w:pPr>
        <w:spacing w:after="120" w:line="336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该框架给出明确、可检验的排除标准：凡“新上海人占比高＋升学竞争高”双高的板块一律排除；凡“空心化高＋竞争低”的板块进入候选。其边界同样清晰：极端空心化板块（如崇明城桥）虽竞争最低，但优质公办供给与通勤条件不适配主城区就业家庭——空心化是必要而非充分条件，还须叠加学校质量、总价与通勤的可接受性。</w:t>
      </w:r>
    </w:p>
    <w:p>
      <w:pPr>
        <w:spacing w:before="360" w:after="200"/>
      </w:pPr>
      <w:r>
        <w:rPr>
          <w:rFonts w:ascii="Times New Roman" w:hAnsi="Times New Roman" w:eastAsia="黑体"/>
          <w:b/>
          <w:i w:val="0"/>
          <w:color w:val="0F2A43"/>
          <w:sz w:val="32"/>
        </w:rPr>
        <w:t>四、数据与方法：双源融合的板块评估体系</w:t>
      </w:r>
    </w:p>
    <w:p>
      <w:pPr>
        <w:spacing w:before="240" w:after="120"/>
      </w:pPr>
      <w:r>
        <w:rPr>
          <w:rFonts w:ascii="Times New Roman" w:hAnsi="Times New Roman" w:eastAsia="黑体"/>
          <w:b/>
          <w:i w:val="0"/>
          <w:color w:val="0F2A43"/>
          <w:sz w:val="27"/>
        </w:rPr>
        <w:t>4.1 双源数据</w:t>
      </w:r>
    </w:p>
    <w:p>
      <w:pPr>
        <w:spacing w:after="80" w:line="336" w:lineRule="auto"/>
        <w:ind w:left="420" w:firstLine="0"/>
      </w:pPr>
      <w:r>
        <w:rPr>
          <w:rFonts w:ascii="Times New Roman" w:hAnsi="Times New Roman" w:eastAsia="宋体"/>
          <w:b w:val="0"/>
          <w:i w:val="0"/>
          <w:color w:val="9A7B12"/>
          <w:sz w:val="21"/>
        </w:rPr>
        <w:t xml:space="preserve">● </w:t>
      </w:r>
      <w:r>
        <w:rPr>
          <w:rFonts w:ascii="Times New Roman" w:hAnsi="Times New Roman" w:eastAsia="宋体"/>
          <w:b/>
          <w:i w:val="0"/>
          <w:sz w:val="24"/>
        </w:rPr>
        <w:t>数据源①：</w:t>
      </w:r>
      <w:r>
        <w:rPr>
          <w:rFonts w:ascii="Times New Roman" w:hAnsi="Times New Roman" w:eastAsia="宋体"/>
          <w:b w:val="0"/>
          <w:i w:val="0"/>
          <w:sz w:val="24"/>
        </w:rPr>
        <w:t>《上海板块学区融合分析》量化评分体系：覆盖全市 106 个板块样本的街道、对口校、五维指标评分，构成数据底座；</w:t>
      </w:r>
    </w:p>
    <w:p>
      <w:pPr>
        <w:spacing w:after="80" w:line="336" w:lineRule="auto"/>
        <w:ind w:left="420" w:firstLine="0"/>
      </w:pPr>
      <w:r>
        <w:rPr>
          <w:rFonts w:ascii="Times New Roman" w:hAnsi="Times New Roman" w:eastAsia="宋体"/>
          <w:b w:val="0"/>
          <w:i w:val="0"/>
          <w:color w:val="9A7B12"/>
          <w:sz w:val="21"/>
        </w:rPr>
        <w:t xml:space="preserve">● </w:t>
      </w:r>
      <w:r>
        <w:rPr>
          <w:rFonts w:ascii="Times New Roman" w:hAnsi="Times New Roman" w:eastAsia="宋体"/>
          <w:b/>
          <w:i w:val="0"/>
          <w:sz w:val="24"/>
        </w:rPr>
        <w:t>数据源②：</w:t>
      </w:r>
      <w:r>
        <w:rPr>
          <w:rFonts w:ascii="Times New Roman" w:hAnsi="Times New Roman" w:eastAsia="宋体"/>
          <w:b w:val="0"/>
          <w:i w:val="0"/>
          <w:sz w:val="24"/>
        </w:rPr>
        <w:t>《差异化选房地图》咨询纪要：包含板块级策略标记（优选锁定／次优关注／可观察／条件不符／策略排除）、是否入选、政策提示，构成决策校准层；</w:t>
      </w:r>
    </w:p>
    <w:p>
      <w:pPr>
        <w:spacing w:after="80" w:line="336" w:lineRule="auto"/>
        <w:ind w:left="420" w:firstLine="0"/>
      </w:pPr>
      <w:r>
        <w:rPr>
          <w:rFonts w:ascii="Times New Roman" w:hAnsi="Times New Roman" w:eastAsia="宋体"/>
          <w:b w:val="0"/>
          <w:i w:val="0"/>
          <w:color w:val="9A7B12"/>
          <w:sz w:val="21"/>
        </w:rPr>
        <w:t xml:space="preserve">● </w:t>
      </w:r>
      <w:r>
        <w:rPr>
          <w:rFonts w:ascii="Times New Roman" w:hAnsi="Times New Roman" w:eastAsia="宋体"/>
          <w:b/>
          <w:i w:val="0"/>
          <w:sz w:val="24"/>
        </w:rPr>
        <w:t>融合规则：</w:t>
      </w:r>
      <w:r>
        <w:rPr>
          <w:rFonts w:ascii="Times New Roman" w:hAnsi="Times New Roman" w:eastAsia="宋体"/>
          <w:b w:val="0"/>
          <w:i w:val="0"/>
          <w:sz w:val="24"/>
        </w:rPr>
        <w:t>融合规则：两侧均指向优选者定为“双源一致·优选”；纪要优选而量化偏低者上调并标注“纪要优选·上调”；纪要独有的板块（如塘桥、复旦附属九年一贯）补录进总表并标注来源。</w:t>
      </w:r>
    </w:p>
    <w:p>
      <w:pPr>
        <w:spacing w:before="240" w:after="120"/>
      </w:pPr>
      <w:r>
        <w:rPr>
          <w:rFonts w:ascii="Times New Roman" w:hAnsi="Times New Roman" w:eastAsia="黑体"/>
          <w:b/>
          <w:i w:val="0"/>
          <w:color w:val="0F2A43"/>
          <w:sz w:val="27"/>
        </w:rPr>
        <w:t>4.2 指标体系与权重</w:t>
      </w:r>
    </w:p>
    <w:p>
      <w:pPr>
        <w:spacing w:before="160" w:after="80"/>
        <w:jc w:val="center"/>
      </w:pPr>
      <w:r>
        <w:rPr>
          <w:rFonts w:ascii="Times New Roman" w:hAnsi="Times New Roman" w:eastAsia="黑体"/>
          <w:b/>
          <w:i w:val="0"/>
          <w:color w:val="0F2A43"/>
          <w:sz w:val="21"/>
        </w:rPr>
        <w:t>表 4-1　五维评分体系与权重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1814"/>
            <w:shd w:val="clear" w:fill="0F2A4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FFFFFF"/>
                <w:sz w:val="21"/>
              </w:rPr>
              <w:t>维度</w:t>
            </w:r>
          </w:p>
        </w:tc>
        <w:tc>
          <w:tcPr>
            <w:tcW w:type="dxa" w:w="907"/>
            <w:shd w:val="clear" w:fill="0F2A4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FFFFFF"/>
                <w:sz w:val="21"/>
              </w:rPr>
              <w:t>权重</w:t>
            </w:r>
          </w:p>
        </w:tc>
        <w:tc>
          <w:tcPr>
            <w:tcW w:type="dxa" w:w="907"/>
            <w:shd w:val="clear" w:fill="0F2A4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FFFFFF"/>
                <w:sz w:val="21"/>
              </w:rPr>
              <w:t>方向</w:t>
            </w:r>
          </w:p>
        </w:tc>
        <w:tc>
          <w:tcPr>
            <w:tcW w:type="dxa" w:w="5329"/>
            <w:shd w:val="clear" w:fill="0F2A4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人口空心化</w:t>
            </w:r>
          </w:p>
        </w:tc>
        <w:tc>
          <w:tcPr>
            <w:tcW w:type="dxa" w:w="90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30%</w:t>
            </w:r>
          </w:p>
        </w:tc>
        <w:tc>
          <w:tcPr>
            <w:tcW w:type="dxa" w:w="90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正向</w:t>
            </w:r>
          </w:p>
        </w:tc>
        <w:tc>
          <w:tcPr>
            <w:tcW w:type="dxa" w:w="532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居住人口相对学校容量偏少，升学竞争压力小（纪要核心指标）</w:t>
            </w:r>
          </w:p>
        </w:tc>
      </w:tr>
      <w:tr>
        <w:tc>
          <w:tcPr>
            <w:tcW w:type="dxa" w:w="1814"/>
            <w:shd w:val="clear" w:fill="F2F5F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新上海人占比</w:t>
            </w:r>
          </w:p>
        </w:tc>
        <w:tc>
          <w:tcPr>
            <w:tcW w:type="dxa" w:w="907"/>
            <w:shd w:val="clear" w:fill="F2F5F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25%</w:t>
            </w:r>
          </w:p>
        </w:tc>
        <w:tc>
          <w:tcPr>
            <w:tcW w:type="dxa" w:w="907"/>
            <w:shd w:val="clear" w:fill="F2F5F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反向</w:t>
            </w:r>
          </w:p>
        </w:tc>
        <w:tc>
          <w:tcPr>
            <w:tcW w:type="dxa" w:w="5329"/>
            <w:shd w:val="clear" w:fill="F2F5F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导入人口少、老上海聚集的板块优先</w:t>
            </w:r>
          </w:p>
        </w:tc>
      </w:tr>
      <w:tr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升学竞争</w:t>
            </w:r>
          </w:p>
        </w:tc>
        <w:tc>
          <w:tcPr>
            <w:tcW w:type="dxa" w:w="90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25%</w:t>
            </w:r>
          </w:p>
        </w:tc>
        <w:tc>
          <w:tcPr>
            <w:tcW w:type="dxa" w:w="90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反向</w:t>
            </w:r>
          </w:p>
        </w:tc>
        <w:tc>
          <w:tcPr>
            <w:tcW w:type="dxa" w:w="532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同板块同龄生源密度与热门程度</w:t>
            </w:r>
          </w:p>
        </w:tc>
      </w:tr>
      <w:tr>
        <w:tc>
          <w:tcPr>
            <w:tcW w:type="dxa" w:w="1814"/>
            <w:shd w:val="clear" w:fill="F2F5F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小学质量</w:t>
            </w:r>
          </w:p>
        </w:tc>
        <w:tc>
          <w:tcPr>
            <w:tcW w:type="dxa" w:w="907"/>
            <w:shd w:val="clear" w:fill="F2F5F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12%</w:t>
            </w:r>
          </w:p>
        </w:tc>
        <w:tc>
          <w:tcPr>
            <w:tcW w:type="dxa" w:w="907"/>
            <w:shd w:val="clear" w:fill="F2F5F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正向</w:t>
            </w:r>
          </w:p>
        </w:tc>
        <w:tc>
          <w:tcPr>
            <w:tcW w:type="dxa" w:w="5329"/>
            <w:shd w:val="clear" w:fill="F2F5F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公办小学口碑（非官方排名，仅供参考）</w:t>
            </w:r>
          </w:p>
        </w:tc>
      </w:tr>
      <w:tr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价格匹配</w:t>
            </w:r>
          </w:p>
        </w:tc>
        <w:tc>
          <w:tcPr>
            <w:tcW w:type="dxa" w:w="90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8%</w:t>
            </w:r>
          </w:p>
        </w:tc>
        <w:tc>
          <w:tcPr>
            <w:tcW w:type="dxa" w:w="90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正向</w:t>
            </w:r>
          </w:p>
        </w:tc>
        <w:tc>
          <w:tcPr>
            <w:tcW w:type="dxa" w:w="532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与纪要推荐的 200–300 万元价位区间的匹配度</w:t>
            </w:r>
          </w:p>
        </w:tc>
      </w:tr>
    </w:tbl>
    <w:p>
      <w:pPr>
        <w:spacing w:after="40"/>
      </w:pPr>
    </w:p>
    <w:p>
      <w:pPr>
        <w:spacing w:after="120" w:line="336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权重结构本身即是策略的量化表达：人口与竞争三个维度合计 80%，学校质量仅占 12%——这与第三部分的理论一致：选的不是“最好的学校”，而是“最能稳稳进去的好学校”。</w:t>
      </w:r>
    </w:p>
    <w:p>
      <w:pPr>
        <w:spacing w:before="240" w:after="120"/>
      </w:pPr>
      <w:r>
        <w:rPr>
          <w:rFonts w:ascii="Times New Roman" w:hAnsi="Times New Roman" w:eastAsia="黑体"/>
          <w:b/>
          <w:i w:val="0"/>
          <w:color w:val="0F2A43"/>
          <w:sz w:val="27"/>
        </w:rPr>
        <w:t>4.3 推荐等级定义</w:t>
      </w:r>
    </w:p>
    <w:p>
      <w:pPr>
        <w:spacing w:before="160" w:after="80"/>
        <w:jc w:val="center"/>
      </w:pPr>
      <w:r>
        <w:rPr>
          <w:rFonts w:ascii="Times New Roman" w:hAnsi="Times New Roman" w:eastAsia="黑体"/>
          <w:b/>
          <w:i w:val="0"/>
          <w:color w:val="0F2A43"/>
          <w:sz w:val="21"/>
        </w:rPr>
        <w:t>表 4-2　推荐等级定义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1928"/>
            <w:shd w:val="clear" w:fill="0F2A4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FFFFFF"/>
                <w:sz w:val="21"/>
              </w:rPr>
              <w:t>等级</w:t>
            </w:r>
          </w:p>
        </w:tc>
        <w:tc>
          <w:tcPr>
            <w:tcW w:type="dxa" w:w="7030"/>
            <w:shd w:val="clear" w:fill="0F2A4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FFFFFF"/>
                <w:sz w:val="21"/>
              </w:rPr>
              <w:t>含义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⭐⭐⭐ 强烈推荐</w:t>
            </w:r>
          </w:p>
        </w:tc>
        <w:tc>
          <w:tcPr>
            <w:tcW w:type="dxa" w:w="7030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符合人口空心化＋低竞争；或纪要明确优选／双源一致上调</w:t>
            </w:r>
          </w:p>
        </w:tc>
      </w:tr>
      <w:tr>
        <w:tc>
          <w:tcPr>
            <w:tcW w:type="dxa" w:w="1928"/>
            <w:shd w:val="clear" w:fill="F2F5F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⭐⭐ 可考虑</w:t>
            </w:r>
          </w:p>
        </w:tc>
        <w:tc>
          <w:tcPr>
            <w:tcW w:type="dxa" w:w="7030"/>
            <w:shd w:val="clear" w:fill="F2F5F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部分指标良好，或纪要次优入选；需核验对口与入户年限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⭐ 谨  慎</w:t>
            </w:r>
          </w:p>
        </w:tc>
        <w:tc>
          <w:tcPr>
            <w:tcW w:type="dxa" w:w="7030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学区／竞争／年限存在短板，或条件暂不符（如九年一贯需提前 3 年）</w:t>
            </w:r>
          </w:p>
        </w:tc>
      </w:tr>
      <w:tr>
        <w:tc>
          <w:tcPr>
            <w:tcW w:type="dxa" w:w="1928"/>
            <w:shd w:val="clear" w:fill="F2F5F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❌ 排  除</w:t>
            </w:r>
          </w:p>
        </w:tc>
        <w:tc>
          <w:tcPr>
            <w:tcW w:type="dxa" w:w="7030"/>
            <w:shd w:val="clear" w:fill="F2F5F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纪要排除的高竞争导入区（嘉定／松江／闵行大部分／浦东大部分等）</w:t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Times New Roman" w:hAnsi="Times New Roman" w:eastAsia="黑体"/>
          <w:b/>
          <w:i w:val="0"/>
          <w:color w:val="0F2A43"/>
          <w:sz w:val="27"/>
        </w:rPr>
        <w:t>4.4 方法局限</w:t>
      </w:r>
    </w:p>
    <w:p>
      <w:pPr>
        <w:spacing w:after="120" w:line="336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本评估有三点局限须明示：其一，总表为决策辅助工具，非官方划片文件，对口学校、入户年限、五年一户等均须以市教委及各区教育局当年文件为准；其二，空心化、竞争等维度含专家判断成分，属结构化估计而非普查统计；其三，招生政策逐年微调，2027 年入学应以 2027 年 4 月各区细则为最终依据。上述局限不改变结论的方向性，但要求执行层在购置前完成附录 B 的逐项核验。</w:t>
      </w:r>
    </w:p>
    <w:p>
      <w:pPr>
        <w:spacing w:before="360" w:after="200"/>
      </w:pPr>
      <w:r>
        <w:rPr>
          <w:rFonts w:ascii="Times New Roman" w:hAnsi="Times New Roman" w:eastAsia="黑体"/>
          <w:b/>
          <w:i w:val="0"/>
          <w:color w:val="0F2A43"/>
          <w:sz w:val="32"/>
        </w:rPr>
        <w:t>五、全市板块融合评估结果</w:t>
      </w:r>
    </w:p>
    <w:p>
      <w:pPr>
        <w:spacing w:before="240" w:after="120"/>
      </w:pPr>
      <w:r>
        <w:rPr>
          <w:rFonts w:ascii="Times New Roman" w:hAnsi="Times New Roman" w:eastAsia="黑体"/>
          <w:b/>
          <w:i w:val="0"/>
          <w:color w:val="0F2A43"/>
          <w:sz w:val="27"/>
        </w:rPr>
        <w:t>5.1 总体分布：排除近半的“减法策略”</w:t>
      </w:r>
    </w:p>
    <w:p>
      <w:pPr>
        <w:spacing w:after="120" w:line="336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106 个样本板块的融合结果为：强烈推荐 15 个（14.2%）、可考虑 23 个（21.7%）、谨慎 21 个（19.8%）、排除 47 个（44.3%）；其中本轮入选看房 18 个（15 个强烈推荐＋3 个纪要次优入选）。排除比例高达 44%，提示差异化策略的本质是“做减法”——先把高竞争导入区整片移出搜索集，再在剩余的低竞争集合中精选学位与总价的平衡点。</w:t>
      </w:r>
    </w:p>
    <w:p>
      <w:pPr>
        <w:spacing w:before="160" w:after="80"/>
        <w:jc w:val="center"/>
      </w:pPr>
      <w:r>
        <w:rPr>
          <w:rFonts w:ascii="Times New Roman" w:hAnsi="Times New Roman" w:eastAsia="黑体"/>
          <w:b/>
          <w:i w:val="0"/>
          <w:color w:val="0F2A43"/>
          <w:sz w:val="21"/>
        </w:rPr>
        <w:t>表 5-1　106 板块融合推荐等级分布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2041"/>
            <w:shd w:val="clear" w:fill="0F2A4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FFFFFF"/>
                <w:sz w:val="21"/>
              </w:rPr>
              <w:t>融合推荐等级</w:t>
            </w:r>
          </w:p>
        </w:tc>
        <w:tc>
          <w:tcPr>
            <w:tcW w:type="dxa" w:w="964"/>
            <w:shd w:val="clear" w:fill="0F2A4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FFFFFF"/>
                <w:sz w:val="21"/>
              </w:rPr>
              <w:t>板块数</w:t>
            </w:r>
          </w:p>
        </w:tc>
        <w:tc>
          <w:tcPr>
            <w:tcW w:type="dxa" w:w="964"/>
            <w:shd w:val="clear" w:fill="0F2A4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FFFFFF"/>
                <w:sz w:val="21"/>
              </w:rPr>
              <w:t>占比</w:t>
            </w:r>
          </w:p>
        </w:tc>
        <w:tc>
          <w:tcPr>
            <w:tcW w:type="dxa" w:w="1077"/>
            <w:shd w:val="clear" w:fill="0F2A4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FFFFFF"/>
                <w:sz w:val="21"/>
              </w:rPr>
              <w:t>本轮入选</w:t>
            </w:r>
          </w:p>
        </w:tc>
        <w:tc>
          <w:tcPr>
            <w:tcW w:type="dxa" w:w="3912"/>
            <w:shd w:val="clear" w:fill="0F2A4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FFFFFF"/>
                <w:sz w:val="21"/>
              </w:rPr>
              <w:t>典型板块</w:t>
            </w:r>
          </w:p>
        </w:tc>
      </w:tr>
      <w:tr>
        <w:tc>
          <w:tcPr>
            <w:tcW w:type="dxa" w:w="204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⭐⭐⭐ 强烈推荐</w:t>
            </w:r>
          </w:p>
        </w:tc>
        <w:tc>
          <w:tcPr>
            <w:tcW w:type="dxa" w:w="96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15</w:t>
            </w:r>
          </w:p>
        </w:tc>
        <w:tc>
          <w:tcPr>
            <w:tcW w:type="dxa" w:w="96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14.2%</w:t>
            </w:r>
          </w:p>
        </w:tc>
        <w:tc>
          <w:tcPr>
            <w:tcW w:type="dxa" w:w="107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15</w:t>
            </w:r>
          </w:p>
        </w:tc>
        <w:tc>
          <w:tcPr>
            <w:tcW w:type="dxa" w:w="391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豫园、潍坊新村、外滩、老西门、东外滩/杨浦滨江</w:t>
            </w:r>
          </w:p>
        </w:tc>
      </w:tr>
      <w:tr>
        <w:tc>
          <w:tcPr>
            <w:tcW w:type="dxa" w:w="2041"/>
            <w:shd w:val="clear" w:fill="F2F5F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⭐⭐ 可考虑</w:t>
            </w:r>
          </w:p>
        </w:tc>
        <w:tc>
          <w:tcPr>
            <w:tcW w:type="dxa" w:w="964"/>
            <w:shd w:val="clear" w:fill="F2F5F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23</w:t>
            </w:r>
          </w:p>
        </w:tc>
        <w:tc>
          <w:tcPr>
            <w:tcW w:type="dxa" w:w="964"/>
            <w:shd w:val="clear" w:fill="F2F5F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21.7%</w:t>
            </w:r>
          </w:p>
        </w:tc>
        <w:tc>
          <w:tcPr>
            <w:tcW w:type="dxa" w:w="1077"/>
            <w:shd w:val="clear" w:fill="F2F5F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</w:t>
            </w:r>
          </w:p>
        </w:tc>
        <w:tc>
          <w:tcPr>
            <w:tcW w:type="dxa" w:w="3912"/>
            <w:shd w:val="clear" w:fill="F2F5F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黄兴公园、四川北路、塘桥、静安寺、曲阳</w:t>
            </w:r>
          </w:p>
        </w:tc>
      </w:tr>
      <w:tr>
        <w:tc>
          <w:tcPr>
            <w:tcW w:type="dxa" w:w="204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⭐ 谨  慎</w:t>
            </w:r>
          </w:p>
        </w:tc>
        <w:tc>
          <w:tcPr>
            <w:tcW w:type="dxa" w:w="96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21</w:t>
            </w:r>
          </w:p>
        </w:tc>
        <w:tc>
          <w:tcPr>
            <w:tcW w:type="dxa" w:w="96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19.8%</w:t>
            </w:r>
          </w:p>
        </w:tc>
        <w:tc>
          <w:tcPr>
            <w:tcW w:type="dxa" w:w="107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</w:t>
            </w:r>
          </w:p>
        </w:tc>
        <w:tc>
          <w:tcPr>
            <w:tcW w:type="dxa" w:w="391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徐汇天平路、静安江宁路、复旦附属九年一贯（年限不符）</w:t>
            </w:r>
          </w:p>
        </w:tc>
      </w:tr>
      <w:tr>
        <w:tc>
          <w:tcPr>
            <w:tcW w:type="dxa" w:w="2041"/>
            <w:shd w:val="clear" w:fill="F2F5F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❌ 排  除</w:t>
            </w:r>
          </w:p>
        </w:tc>
        <w:tc>
          <w:tcPr>
            <w:tcW w:type="dxa" w:w="964"/>
            <w:shd w:val="clear" w:fill="F2F5F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47</w:t>
            </w:r>
          </w:p>
        </w:tc>
        <w:tc>
          <w:tcPr>
            <w:tcW w:type="dxa" w:w="964"/>
            <w:shd w:val="clear" w:fill="F2F5F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44.3%</w:t>
            </w:r>
          </w:p>
        </w:tc>
        <w:tc>
          <w:tcPr>
            <w:tcW w:type="dxa" w:w="1077"/>
            <w:shd w:val="clear" w:fill="F2F5F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</w:t>
            </w:r>
          </w:p>
        </w:tc>
        <w:tc>
          <w:tcPr>
            <w:tcW w:type="dxa" w:w="3912"/>
            <w:shd w:val="clear" w:fill="F2F5F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九亭、莘庄、张江、嘉定新城、联洋、前滩</w:t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Times New Roman" w:hAnsi="Times New Roman" w:eastAsia="黑体"/>
          <w:b/>
          <w:i w:val="0"/>
          <w:color w:val="0F2A43"/>
          <w:sz w:val="27"/>
        </w:rPr>
        <w:t>5.2 行政区结构：黄浦、杨浦构成第一梯队</w:t>
      </w:r>
    </w:p>
    <w:p>
      <w:pPr>
        <w:spacing w:after="120" w:line="336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从行政区看，推荐结果高度集中：黄浦 10 个样本中 8 个强烈推荐、其余 2 个可考虑，无一个排除——是全市唯一“整区优选”的行政区；杨浦 8 个样本中 2 个强烈推荐（东外滩/杨浦滨江、鞍山）、1 个入选可考虑（黄兴公园）；虹口北外滩、普陀曹杨、长宁天山、浦东潍坊新村各占 1 个强烈推荐席位。与之相对，嘉定、松江、闵行、宝山、青浦五区 29 个样本几乎全部落入排除档，徐汇、静安则因“高总价＋高竞争”集中于谨慎档。</w:t>
      </w:r>
    </w:p>
    <w:p>
      <w:pPr>
        <w:spacing w:before="160" w:after="80"/>
        <w:jc w:val="center"/>
      </w:pPr>
      <w:r>
        <w:rPr>
          <w:rFonts w:ascii="Times New Roman" w:hAnsi="Times New Roman" w:eastAsia="黑体"/>
          <w:b/>
          <w:i w:val="0"/>
          <w:color w:val="0F2A43"/>
          <w:sz w:val="21"/>
        </w:rPr>
        <w:t>表 5-2　十六区策略分层总览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93"/>
        <w:gridCol w:w="1493"/>
        <w:gridCol w:w="1493"/>
        <w:gridCol w:w="1493"/>
        <w:gridCol w:w="1493"/>
        <w:gridCol w:w="1493"/>
      </w:tblGrid>
      <w:tr>
        <w:tc>
          <w:tcPr>
            <w:tcW w:type="dxa" w:w="1361"/>
            <w:shd w:val="clear" w:fill="0F2A4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FFFFFF"/>
                <w:sz w:val="21"/>
              </w:rPr>
              <w:t>策略标记</w:t>
            </w:r>
          </w:p>
        </w:tc>
        <w:tc>
          <w:tcPr>
            <w:tcW w:type="dxa" w:w="907"/>
            <w:shd w:val="clear" w:fill="0F2A4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FFFFFF"/>
                <w:sz w:val="21"/>
              </w:rPr>
              <w:t>行政区</w:t>
            </w:r>
          </w:p>
        </w:tc>
        <w:tc>
          <w:tcPr>
            <w:tcW w:type="dxa" w:w="1361"/>
            <w:shd w:val="clear" w:fill="0F2A4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FFFFFF"/>
                <w:sz w:val="21"/>
              </w:rPr>
              <w:t>入学对口</w:t>
            </w:r>
          </w:p>
        </w:tc>
        <w:tc>
          <w:tcPr>
            <w:tcW w:type="dxa" w:w="1077"/>
            <w:shd w:val="clear" w:fill="0F2A4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FFFFFF"/>
                <w:sz w:val="21"/>
              </w:rPr>
              <w:t>区内竞争</w:t>
            </w:r>
          </w:p>
        </w:tc>
        <w:tc>
          <w:tcPr>
            <w:tcW w:type="dxa" w:w="1474"/>
            <w:shd w:val="clear" w:fill="0F2A4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FFFFFF"/>
                <w:sz w:val="21"/>
              </w:rPr>
              <w:t>中考相对压力</w:t>
            </w:r>
          </w:p>
        </w:tc>
        <w:tc>
          <w:tcPr>
            <w:tcW w:type="dxa" w:w="2778"/>
            <w:shd w:val="clear" w:fill="0F2A4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FFFFFF"/>
                <w:sz w:val="21"/>
              </w:rPr>
              <w:t>策略结论</w:t>
            </w:r>
          </w:p>
        </w:tc>
      </w:tr>
      <w:tr>
        <w:tc>
          <w:tcPr>
            <w:tcW w:type="dxa" w:w="136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★优选锁定</w:t>
            </w:r>
          </w:p>
        </w:tc>
        <w:tc>
          <w:tcPr>
            <w:tcW w:type="dxa" w:w="90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黄浦</w:t>
            </w:r>
          </w:p>
        </w:tc>
        <w:tc>
          <w:tcPr>
            <w:tcW w:type="dxa" w:w="136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学籍对口</w:t>
            </w:r>
          </w:p>
        </w:tc>
        <w:tc>
          <w:tcPr>
            <w:tcW w:type="dxa" w:w="107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低</w:t>
            </w:r>
          </w:p>
        </w:tc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相对友好（录取率较高）</w:t>
            </w:r>
          </w:p>
        </w:tc>
        <w:tc>
          <w:tcPr>
            <w:tcW w:type="dxa" w:w="277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核心优选区：人口与学位匹配更接近「空心化」</w:t>
            </w:r>
          </w:p>
        </w:tc>
      </w:tr>
      <w:tr>
        <w:tc>
          <w:tcPr>
            <w:tcW w:type="dxa" w:w="1361"/>
            <w:shd w:val="clear" w:fill="F2F5F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★优选锁定</w:t>
            </w:r>
          </w:p>
        </w:tc>
        <w:tc>
          <w:tcPr>
            <w:tcW w:type="dxa" w:w="907"/>
            <w:shd w:val="clear" w:fill="F2F5F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杨浦</w:t>
            </w:r>
          </w:p>
        </w:tc>
        <w:tc>
          <w:tcPr>
            <w:tcW w:type="dxa" w:w="1361"/>
            <w:shd w:val="clear" w:fill="F2F5F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学籍对口</w:t>
            </w:r>
          </w:p>
        </w:tc>
        <w:tc>
          <w:tcPr>
            <w:tcW w:type="dxa" w:w="1077"/>
            <w:shd w:val="clear" w:fill="F2F5F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中低</w:t>
            </w:r>
          </w:p>
        </w:tc>
        <w:tc>
          <w:tcPr>
            <w:tcW w:type="dxa" w:w="1474"/>
            <w:shd w:val="clear" w:fill="F2F5F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中等</w:t>
            </w:r>
          </w:p>
        </w:tc>
        <w:tc>
          <w:tcPr>
            <w:tcW w:type="dxa" w:w="2778"/>
            <w:shd w:val="clear" w:fill="F2F5F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滨江及老板块可挖「学校在、人口出」机会</w:t>
            </w:r>
          </w:p>
        </w:tc>
      </w:tr>
      <w:tr>
        <w:tc>
          <w:tcPr>
            <w:tcW w:type="dxa" w:w="136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☆次优关注</w:t>
            </w:r>
          </w:p>
        </w:tc>
        <w:tc>
          <w:tcPr>
            <w:tcW w:type="dxa" w:w="90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虹口</w:t>
            </w:r>
          </w:p>
        </w:tc>
        <w:tc>
          <w:tcPr>
            <w:tcW w:type="dxa" w:w="136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学籍对口</w:t>
            </w:r>
          </w:p>
        </w:tc>
        <w:tc>
          <w:tcPr>
            <w:tcW w:type="dxa" w:w="107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中低</w:t>
            </w:r>
          </w:p>
        </w:tc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中等</w:t>
            </w:r>
          </w:p>
        </w:tc>
        <w:tc>
          <w:tcPr>
            <w:tcW w:type="dxa" w:w="277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部分老板块可观察，整体次于黄浦</w:t>
            </w:r>
          </w:p>
        </w:tc>
      </w:tr>
      <w:tr>
        <w:tc>
          <w:tcPr>
            <w:tcW w:type="dxa" w:w="1361"/>
            <w:shd w:val="clear" w:fill="F2F5F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○可观察</w:t>
            </w:r>
          </w:p>
        </w:tc>
        <w:tc>
          <w:tcPr>
            <w:tcW w:type="dxa" w:w="907"/>
            <w:shd w:val="clear" w:fill="F2F5F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静安</w:t>
            </w:r>
          </w:p>
        </w:tc>
        <w:tc>
          <w:tcPr>
            <w:tcW w:type="dxa" w:w="1361"/>
            <w:shd w:val="clear" w:fill="F2F5F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户籍/学籍混合特征强</w:t>
            </w:r>
          </w:p>
        </w:tc>
        <w:tc>
          <w:tcPr>
            <w:tcW w:type="dxa" w:w="1077"/>
            <w:shd w:val="clear" w:fill="F2F5F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中</w:t>
            </w:r>
          </w:p>
        </w:tc>
        <w:tc>
          <w:tcPr>
            <w:tcW w:type="dxa" w:w="1474"/>
            <w:shd w:val="clear" w:fill="F2F5F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中等偏卷</w:t>
            </w:r>
          </w:p>
        </w:tc>
        <w:tc>
          <w:tcPr>
            <w:tcW w:type="dxa" w:w="2778"/>
            <w:shd w:val="clear" w:fill="F2F5F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优质但总价高，性价比与空心化特征一般</w:t>
            </w:r>
          </w:p>
        </w:tc>
      </w:tr>
      <w:tr>
        <w:tc>
          <w:tcPr>
            <w:tcW w:type="dxa" w:w="136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○可观察</w:t>
            </w:r>
          </w:p>
        </w:tc>
        <w:tc>
          <w:tcPr>
            <w:tcW w:type="dxa" w:w="90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长宁</w:t>
            </w:r>
          </w:p>
        </w:tc>
        <w:tc>
          <w:tcPr>
            <w:tcW w:type="dxa" w:w="136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学籍+派位</w:t>
            </w:r>
          </w:p>
        </w:tc>
        <w:tc>
          <w:tcPr>
            <w:tcW w:type="dxa" w:w="107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中</w:t>
            </w:r>
          </w:p>
        </w:tc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中等</w:t>
            </w:r>
          </w:p>
        </w:tc>
        <w:tc>
          <w:tcPr>
            <w:tcW w:type="dxa" w:w="277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公办均衡，但非纪要主推空心化路径</w:t>
            </w:r>
          </w:p>
        </w:tc>
      </w:tr>
      <w:tr>
        <w:tc>
          <w:tcPr>
            <w:tcW w:type="dxa" w:w="1361"/>
            <w:shd w:val="clear" w:fill="F2F5F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△条件不符</w:t>
            </w:r>
          </w:p>
        </w:tc>
        <w:tc>
          <w:tcPr>
            <w:tcW w:type="dxa" w:w="907"/>
            <w:shd w:val="clear" w:fill="F2F5F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徐汇</w:t>
            </w:r>
          </w:p>
        </w:tc>
        <w:tc>
          <w:tcPr>
            <w:tcW w:type="dxa" w:w="1361"/>
            <w:shd w:val="clear" w:fill="F2F5F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学籍+派位</w:t>
            </w:r>
          </w:p>
        </w:tc>
        <w:tc>
          <w:tcPr>
            <w:tcW w:type="dxa" w:w="1077"/>
            <w:shd w:val="clear" w:fill="F2F5F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中高</w:t>
            </w:r>
          </w:p>
        </w:tc>
        <w:tc>
          <w:tcPr>
            <w:tcW w:type="dxa" w:w="1474"/>
            <w:shd w:val="clear" w:fill="F2F5F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顶尖资源强但竞争也强</w:t>
            </w:r>
          </w:p>
        </w:tc>
        <w:tc>
          <w:tcPr>
            <w:tcW w:type="dxa" w:w="2778"/>
            <w:shd w:val="clear" w:fill="F2F5F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复旦附属九年一贯等质量好，但年限与总价不匹配明年入学</w:t>
            </w:r>
          </w:p>
        </w:tc>
      </w:tr>
      <w:tr>
        <w:tc>
          <w:tcPr>
            <w:tcW w:type="dxa" w:w="136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○可观察</w:t>
            </w:r>
          </w:p>
        </w:tc>
        <w:tc>
          <w:tcPr>
            <w:tcW w:type="dxa" w:w="90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普陀</w:t>
            </w:r>
          </w:p>
        </w:tc>
        <w:tc>
          <w:tcPr>
            <w:tcW w:type="dxa" w:w="136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学籍对口</w:t>
            </w:r>
          </w:p>
        </w:tc>
        <w:tc>
          <w:tcPr>
            <w:tcW w:type="dxa" w:w="107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中</w:t>
            </w:r>
          </w:p>
        </w:tc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中等</w:t>
            </w:r>
          </w:p>
        </w:tc>
        <w:tc>
          <w:tcPr>
            <w:tcW w:type="dxa" w:w="277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部分老板块可观察，整体非首选</w:t>
            </w:r>
          </w:p>
        </w:tc>
      </w:tr>
      <w:tr>
        <w:tc>
          <w:tcPr>
            <w:tcW w:type="dxa" w:w="1361"/>
            <w:shd w:val="clear" w:fill="F2F5F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○可观察</w:t>
            </w:r>
          </w:p>
        </w:tc>
        <w:tc>
          <w:tcPr>
            <w:tcW w:type="dxa" w:w="907"/>
            <w:shd w:val="clear" w:fill="F2F5F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浦东</w:t>
            </w:r>
          </w:p>
        </w:tc>
        <w:tc>
          <w:tcPr>
            <w:tcW w:type="dxa" w:w="1361"/>
            <w:shd w:val="clear" w:fill="F2F5F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户籍对口</w:t>
            </w:r>
          </w:p>
        </w:tc>
        <w:tc>
          <w:tcPr>
            <w:tcW w:type="dxa" w:w="1077"/>
            <w:shd w:val="clear" w:fill="F2F5F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高（多数板块）</w:t>
            </w:r>
          </w:p>
        </w:tc>
        <w:tc>
          <w:tcPr>
            <w:tcW w:type="dxa" w:w="1474"/>
            <w:shd w:val="clear" w:fill="F2F5F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分化极大</w:t>
            </w:r>
          </w:p>
        </w:tc>
        <w:tc>
          <w:tcPr>
            <w:tcW w:type="dxa" w:w="2778"/>
            <w:shd w:val="clear" w:fill="F2F5F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仅保留陆家嘴潍坊等少数老板块；其余多数排除</w:t>
            </w:r>
          </w:p>
        </w:tc>
      </w:tr>
      <w:tr>
        <w:tc>
          <w:tcPr>
            <w:tcW w:type="dxa" w:w="136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✕策略排除</w:t>
            </w:r>
          </w:p>
        </w:tc>
        <w:tc>
          <w:tcPr>
            <w:tcW w:type="dxa" w:w="90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闵行</w:t>
            </w:r>
          </w:p>
        </w:tc>
        <w:tc>
          <w:tcPr>
            <w:tcW w:type="dxa" w:w="136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户籍对口</w:t>
            </w:r>
          </w:p>
        </w:tc>
        <w:tc>
          <w:tcPr>
            <w:tcW w:type="dxa" w:w="107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极高</w:t>
            </w:r>
          </w:p>
        </w:tc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高</w:t>
            </w:r>
          </w:p>
        </w:tc>
        <w:tc>
          <w:tcPr>
            <w:tcW w:type="dxa" w:w="277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纪要：去掉大部分；九年一贯年限也不达标</w:t>
            </w:r>
          </w:p>
        </w:tc>
      </w:tr>
      <w:tr>
        <w:tc>
          <w:tcPr>
            <w:tcW w:type="dxa" w:w="1361"/>
            <w:shd w:val="clear" w:fill="F2F5F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✕策略排除</w:t>
            </w:r>
          </w:p>
        </w:tc>
        <w:tc>
          <w:tcPr>
            <w:tcW w:type="dxa" w:w="907"/>
            <w:shd w:val="clear" w:fill="F2F5F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宝山</w:t>
            </w:r>
          </w:p>
        </w:tc>
        <w:tc>
          <w:tcPr>
            <w:tcW w:type="dxa" w:w="1361"/>
            <w:shd w:val="clear" w:fill="F2F5F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户籍对口</w:t>
            </w:r>
          </w:p>
        </w:tc>
        <w:tc>
          <w:tcPr>
            <w:tcW w:type="dxa" w:w="1077"/>
            <w:shd w:val="clear" w:fill="F2F5F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高</w:t>
            </w:r>
          </w:p>
        </w:tc>
        <w:tc>
          <w:tcPr>
            <w:tcW w:type="dxa" w:w="1474"/>
            <w:shd w:val="clear" w:fill="F2F5F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高</w:t>
            </w:r>
          </w:p>
        </w:tc>
        <w:tc>
          <w:tcPr>
            <w:tcW w:type="dxa" w:w="2778"/>
            <w:shd w:val="clear" w:fill="F2F5F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新人口集中、竞争大，纪要明确避开</w:t>
            </w:r>
          </w:p>
        </w:tc>
      </w:tr>
      <w:tr>
        <w:tc>
          <w:tcPr>
            <w:tcW w:type="dxa" w:w="136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✕策略排除</w:t>
            </w:r>
          </w:p>
        </w:tc>
        <w:tc>
          <w:tcPr>
            <w:tcW w:type="dxa" w:w="90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嘉定</w:t>
            </w:r>
          </w:p>
        </w:tc>
        <w:tc>
          <w:tcPr>
            <w:tcW w:type="dxa" w:w="136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户籍对口</w:t>
            </w:r>
          </w:p>
        </w:tc>
        <w:tc>
          <w:tcPr>
            <w:tcW w:type="dxa" w:w="107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高</w:t>
            </w:r>
          </w:p>
        </w:tc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高</w:t>
            </w:r>
          </w:p>
        </w:tc>
        <w:tc>
          <w:tcPr>
            <w:tcW w:type="dxa" w:w="277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纪要：去掉嘉定；年限预警趋严</w:t>
            </w:r>
          </w:p>
        </w:tc>
      </w:tr>
      <w:tr>
        <w:tc>
          <w:tcPr>
            <w:tcW w:type="dxa" w:w="1361"/>
            <w:shd w:val="clear" w:fill="F2F5F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✕策略排除</w:t>
            </w:r>
          </w:p>
        </w:tc>
        <w:tc>
          <w:tcPr>
            <w:tcW w:type="dxa" w:w="907"/>
            <w:shd w:val="clear" w:fill="F2F5F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松江</w:t>
            </w:r>
          </w:p>
        </w:tc>
        <w:tc>
          <w:tcPr>
            <w:tcW w:type="dxa" w:w="1361"/>
            <w:shd w:val="clear" w:fill="F2F5F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户籍对口</w:t>
            </w:r>
          </w:p>
        </w:tc>
        <w:tc>
          <w:tcPr>
            <w:tcW w:type="dxa" w:w="1077"/>
            <w:shd w:val="clear" w:fill="F2F5F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极高（九亭尤甚）</w:t>
            </w:r>
          </w:p>
        </w:tc>
        <w:tc>
          <w:tcPr>
            <w:tcW w:type="dxa" w:w="1474"/>
            <w:shd w:val="clear" w:fill="F2F5F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高</w:t>
            </w:r>
          </w:p>
        </w:tc>
        <w:tc>
          <w:tcPr>
            <w:tcW w:type="dxa" w:w="2778"/>
            <w:shd w:val="clear" w:fill="F2F5F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纪要：去掉松江；九亭属高竞争早期段位</w:t>
            </w:r>
          </w:p>
        </w:tc>
      </w:tr>
      <w:tr>
        <w:tc>
          <w:tcPr>
            <w:tcW w:type="dxa" w:w="136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✕策略排除</w:t>
            </w:r>
          </w:p>
        </w:tc>
        <w:tc>
          <w:tcPr>
            <w:tcW w:type="dxa" w:w="90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青浦</w:t>
            </w:r>
          </w:p>
        </w:tc>
        <w:tc>
          <w:tcPr>
            <w:tcW w:type="dxa" w:w="136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户籍对口</w:t>
            </w:r>
          </w:p>
        </w:tc>
        <w:tc>
          <w:tcPr>
            <w:tcW w:type="dxa" w:w="107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高</w:t>
            </w:r>
          </w:p>
        </w:tc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中高</w:t>
            </w:r>
          </w:p>
        </w:tc>
        <w:tc>
          <w:tcPr>
            <w:tcW w:type="dxa" w:w="277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人口导入型，非空心化路径</w:t>
            </w:r>
          </w:p>
        </w:tc>
      </w:tr>
      <w:tr>
        <w:tc>
          <w:tcPr>
            <w:tcW w:type="dxa" w:w="1361"/>
            <w:shd w:val="clear" w:fill="F2F5F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○可观察</w:t>
            </w:r>
          </w:p>
        </w:tc>
        <w:tc>
          <w:tcPr>
            <w:tcW w:type="dxa" w:w="907"/>
            <w:shd w:val="clear" w:fill="F2F5F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奉贤</w:t>
            </w:r>
          </w:p>
        </w:tc>
        <w:tc>
          <w:tcPr>
            <w:tcW w:type="dxa" w:w="1361"/>
            <w:shd w:val="clear" w:fill="F2F5F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户籍对口</w:t>
            </w:r>
          </w:p>
        </w:tc>
        <w:tc>
          <w:tcPr>
            <w:tcW w:type="dxa" w:w="1077"/>
            <w:shd w:val="clear" w:fill="F2F5F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中</w:t>
            </w:r>
          </w:p>
        </w:tc>
        <w:tc>
          <w:tcPr>
            <w:tcW w:type="dxa" w:w="1474"/>
            <w:shd w:val="clear" w:fill="F2F5F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中等</w:t>
            </w:r>
          </w:p>
        </w:tc>
        <w:tc>
          <w:tcPr>
            <w:tcW w:type="dxa" w:w="2778"/>
            <w:shd w:val="clear" w:fill="F2F5F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通勤与资源一般，非本次学区主线</w:t>
            </w:r>
          </w:p>
        </w:tc>
      </w:tr>
      <w:tr>
        <w:tc>
          <w:tcPr>
            <w:tcW w:type="dxa" w:w="136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○可观察</w:t>
            </w:r>
          </w:p>
        </w:tc>
        <w:tc>
          <w:tcPr>
            <w:tcW w:type="dxa" w:w="90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金山</w:t>
            </w:r>
          </w:p>
        </w:tc>
        <w:tc>
          <w:tcPr>
            <w:tcW w:type="dxa" w:w="136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户籍对口</w:t>
            </w:r>
          </w:p>
        </w:tc>
        <w:tc>
          <w:tcPr>
            <w:tcW w:type="dxa" w:w="107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较低</w:t>
            </w:r>
          </w:p>
        </w:tc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较低</w:t>
            </w:r>
          </w:p>
        </w:tc>
        <w:tc>
          <w:tcPr>
            <w:tcW w:type="dxa" w:w="277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竞争小但优质公办与通勤弱，非本次目标</w:t>
            </w:r>
          </w:p>
        </w:tc>
      </w:tr>
      <w:tr>
        <w:tc>
          <w:tcPr>
            <w:tcW w:type="dxa" w:w="1361"/>
            <w:shd w:val="clear" w:fill="F2F5F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○可观察</w:t>
            </w:r>
          </w:p>
        </w:tc>
        <w:tc>
          <w:tcPr>
            <w:tcW w:type="dxa" w:w="907"/>
            <w:shd w:val="clear" w:fill="F2F5F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崇明</w:t>
            </w:r>
          </w:p>
        </w:tc>
        <w:tc>
          <w:tcPr>
            <w:tcW w:type="dxa" w:w="1361"/>
            <w:shd w:val="clear" w:fill="F2F5F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户籍对口</w:t>
            </w:r>
          </w:p>
        </w:tc>
        <w:tc>
          <w:tcPr>
            <w:tcW w:type="dxa" w:w="1077"/>
            <w:shd w:val="clear" w:fill="F2F5F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低</w:t>
            </w:r>
          </w:p>
        </w:tc>
        <w:tc>
          <w:tcPr>
            <w:tcW w:type="dxa" w:w="1474"/>
            <w:shd w:val="clear" w:fill="F2F5F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低</w:t>
            </w:r>
          </w:p>
        </w:tc>
        <w:tc>
          <w:tcPr>
            <w:tcW w:type="dxa" w:w="2778"/>
            <w:shd w:val="clear" w:fill="F2F5F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空心化极端，但升学资源与通勤不适合主城区就业家庭</w:t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Times New Roman" w:hAnsi="Times New Roman" w:eastAsia="黑体"/>
          <w:b/>
          <w:i w:val="0"/>
          <w:color w:val="0F2A43"/>
          <w:sz w:val="27"/>
        </w:rPr>
        <w:t>5.3 空间规律：甜区高度集中于内环老板块</w:t>
      </w:r>
    </w:p>
    <w:p>
      <w:pPr>
        <w:spacing w:after="120" w:line="336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将 106 个板块投射到“人口空心化 × 新上海人占比”二维空间（详见配套 HTML 看板策略定位图），可以直观看到两极分化：右上甜区（空心化 ≥4、新沪占比 ≤2）几乎被黄浦各街道、杨浦滨江/鞍山、潍坊新村、曹杨、北外滩占据；左下象限（空心化 ≤2、新沪占比 ≥4）则是九亭、莘庄、张江、嘉定新城等导入区的密集带。空间分布与纪要判断互为印证：全市 168 个板块中，黄浦与杨浦滨江最符合空心化特征，而浦东仅陆家嘴潍坊新村一个例外保留。</w:t>
      </w:r>
    </w:p>
    <w:p>
      <w:pPr>
        <w:spacing w:before="240" w:after="120"/>
      </w:pPr>
      <w:r>
        <w:rPr>
          <w:rFonts w:ascii="Times New Roman" w:hAnsi="Times New Roman" w:eastAsia="黑体"/>
          <w:b/>
          <w:i w:val="0"/>
          <w:color w:val="0F2A43"/>
          <w:sz w:val="27"/>
        </w:rPr>
        <w:t>5.4 入选清单与看房动线</w:t>
      </w:r>
    </w:p>
    <w:p>
      <w:pPr>
        <w:spacing w:after="120" w:line="336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综合评分、策略契合度与政策核验难度，本轮确定 18 个入选看房板块，建议按“潍坊新村（世纪大道南）→ 杨浦鞍山/滨江 → 黄浦老城厢 → 虹口/曹杨等次优观察”的次序推进：先看纪要的确定性落点，再看同类逻辑的替代选项，最后以次优板块校准价格。完整清单见附录 A，逐板块理由见第六部分。</w:t>
      </w:r>
    </w:p>
    <w:p>
      <w:pPr>
        <w:spacing w:before="360" w:after="200"/>
      </w:pPr>
      <w:r>
        <w:rPr>
          <w:rFonts w:ascii="Times New Roman" w:hAnsi="Times New Roman" w:eastAsia="黑体"/>
          <w:b/>
          <w:i w:val="0"/>
          <w:color w:val="0F2A43"/>
          <w:sz w:val="32"/>
        </w:rPr>
        <w:t>六、重点推荐板块深度剖析</w:t>
      </w:r>
    </w:p>
    <w:p>
      <w:pPr>
        <w:spacing w:before="240" w:after="120"/>
      </w:pPr>
      <w:r>
        <w:rPr>
          <w:rFonts w:ascii="Times New Roman" w:hAnsi="Times New Roman" w:eastAsia="黑体"/>
          <w:b/>
          <w:i w:val="0"/>
          <w:color w:val="0F2A43"/>
          <w:sz w:val="27"/>
        </w:rPr>
        <w:t>6.1 浦东·潍坊新村：纪要首推的确定性落点（综合 4.39，策略契合 100）</w:t>
      </w:r>
    </w:p>
    <w:p>
      <w:pPr>
        <w:spacing w:after="120" w:line="336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潍坊新村是本次融合评估中唯一获“双源一致·优选”的浦东板块，也是纪要的明确首推。其逻辑链条完整：陆家嘴核心区位内的老公房集群（崂山一村至十村），居住者多为老上海人，租客极少在本地生育带娃，适龄生源密度低；对口明珠小学 A/B 区与浦明附小潍坊校区（小学质量 5 级），初中路径为进才中学北校、洋泾菊园（需核验当年对口）；总价 200–300 万元，恰好落在纪要锚点区间。看房执行层面，纪要明确“优先世纪大道南侧”，并提示关注五年一户与热门校入户年限预警。</w:t>
      </w:r>
    </w:p>
    <w:p>
      <w:pPr>
        <w:spacing w:after="120" w:line="336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需要清醒认识的两点：其一，浦东属户籍对口区，小升初更看户籍与居住地段——这恰好支持“先小学、后置换初中”的分步策略；其二，该板块房产本身增值空间有限，它是“学位期权”而非“增值资产”，持有期应与小学学段对齐。</w:t>
      </w:r>
    </w:p>
    <w:p>
      <w:pPr>
        <w:spacing w:before="240" w:after="120"/>
      </w:pPr>
      <w:r>
        <w:rPr>
          <w:rFonts w:ascii="Times New Roman" w:hAnsi="Times New Roman" w:eastAsia="黑体"/>
          <w:b/>
          <w:i w:val="0"/>
          <w:color w:val="0F2A43"/>
          <w:sz w:val="27"/>
        </w:rPr>
        <w:t>6.2 黄浦老城厢组团：空心化的教科书样本（豫园 4.40／老西门 4.12／小东门 4.12／半淞园路 4.14）</w:t>
      </w:r>
    </w:p>
    <w:p>
      <w:pPr>
        <w:spacing w:after="120" w:line="336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老城厢是“学校在、人口出”机制最典型的区域：成片动迁后原住人口大量迁出，福佑路第一小学、蓬莱二小、黄浦一中心、董家渡路第二小学等校保留，初中端为市八、大同初等学籍对口校，且黄浦全区中考生态在全市相对友好。四个板块空心化均为 5 级、竞争 2 级，总价 200–450 万元，与预算锚点高度吻合。其中豫园因“旅游＋老居民混居、生源竞争小”获全市最高综合评分 4.40；半淞园路为“融合分析优选”，滨江与学区可兼得。</w:t>
      </w:r>
    </w:p>
    <w:p>
      <w:pPr>
        <w:spacing w:before="240" w:after="120"/>
      </w:pPr>
      <w:r>
        <w:rPr>
          <w:rFonts w:ascii="Times New Roman" w:hAnsi="Times New Roman" w:eastAsia="黑体"/>
          <w:b/>
          <w:i w:val="0"/>
          <w:color w:val="0F2A43"/>
          <w:sz w:val="27"/>
        </w:rPr>
        <w:t>6.3 黄浦核心组团：商业置换居住形成的低适龄密度（外滩 4.33／南京东路 4.31／淮海中路 3.79／打浦桥 3.51／五里桥 3.42）</w:t>
      </w:r>
    </w:p>
    <w:p>
      <w:pPr>
        <w:spacing w:after="120" w:line="336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外滩、南京东路因商业商务功能对居住的置换，常住人口与适龄密度双低，对口北京东路小学，初中端为格致初、大同初；打浦桥、五里桥属老卢湾居住区，“人口少于学位紧张度低”，对口黄浦一中心、卢湾二中心，初中端向明初、卢湾中学。该组团总价梯度更宽（220–800 万元），其中五里桥被标注“纪要优选·上调”——汇龙新城等标杆盘所在，是总价更友好的黄浦入口，适合作为“先解决小学”的备选落点。</w:t>
      </w:r>
    </w:p>
    <w:p>
      <w:pPr>
        <w:spacing w:before="240" w:after="120"/>
      </w:pPr>
      <w:r>
        <w:rPr>
          <w:rFonts w:ascii="Times New Roman" w:hAnsi="Times New Roman" w:eastAsia="黑体"/>
          <w:b/>
          <w:i w:val="0"/>
          <w:color w:val="0F2A43"/>
          <w:sz w:val="27"/>
        </w:rPr>
        <w:t>6.4 杨浦双板块：东外滩/杨浦滨江（4.10）与鞍山（2.79，契合 100）</w:t>
      </w:r>
    </w:p>
    <w:p>
      <w:pPr>
        <w:spacing w:after="120" w:line="336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杨浦滨江是纪要点名符合空心化特征的两大区域之一：旧改推动人口流出，对口杨浦小学、杭州路第一小学，初中为杨浦初级、东辽阳中学，总价 200–400 万元；需跟踪新建学校招生政策落地进度。鞍山则是另一种逻辑——“学校强、房子旧、人口出”：打一小学为全市知名公办（小学质量 4 级），对口初中鞍山初级相对一般（2 级），摇号政策后板块热度下降，总价 250–450 万元，属典型的“低总价挂户口”选项；其综合评分仅 2.79 但策略契合分 100，说明它服务的是“锁定强小学学位”的单一目标，初中端留待后续置换或民办摇号。</w:t>
      </w:r>
    </w:p>
    <w:p>
      <w:pPr>
        <w:spacing w:before="240" w:after="120"/>
      </w:pPr>
      <w:r>
        <w:rPr>
          <w:rFonts w:ascii="Times New Roman" w:hAnsi="Times New Roman" w:eastAsia="黑体"/>
          <w:b/>
          <w:i w:val="0"/>
          <w:color w:val="0F2A43"/>
          <w:sz w:val="27"/>
        </w:rPr>
        <w:t>6.5 次优观察带：虹口北外滩（3.72）／四川北路（3.47）、普陀曹杨（3.73）、长宁天山（3.64）、浦东塘桥</w:t>
      </w:r>
    </w:p>
    <w:p>
      <w:pPr>
        <w:spacing w:after="120" w:line="336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次优带的价值在于“校准与备份”：北外滩旧改人口流出、可作黄浦外溢观察；曹杨为工人新村老龄化空心化样本；天山为老上海居住区、竞争中等偏低；塘桥毗邻潍坊新村，作为地图补录板块入选观察，但竞争高于潍坊老破小，且浦东户籍对口下初中路径分化，需核验对口分组。若第一梯队因总价、房源或核验问题无法落定，次优带提供同逻辑的降级选项。</w:t>
      </w:r>
    </w:p>
    <w:p>
      <w:pPr>
        <w:spacing w:before="360" w:after="200"/>
      </w:pPr>
      <w:r>
        <w:rPr>
          <w:rFonts w:ascii="Times New Roman" w:hAnsi="Times New Roman" w:eastAsia="黑体"/>
          <w:b/>
          <w:i w:val="0"/>
          <w:color w:val="0F2A43"/>
          <w:sz w:val="32"/>
        </w:rPr>
        <w:t>七、排除与谨慎区域的竞争机制分析</w:t>
      </w:r>
    </w:p>
    <w:p>
      <w:pPr>
        <w:spacing w:before="240" w:after="120"/>
      </w:pPr>
      <w:r>
        <w:rPr>
          <w:rFonts w:ascii="Times New Roman" w:hAnsi="Times New Roman" w:eastAsia="黑体"/>
          <w:b/>
          <w:i w:val="0"/>
          <w:color w:val="0F2A43"/>
          <w:sz w:val="27"/>
        </w:rPr>
        <w:t>7.1 高竞争导入区：为什么整片排除</w:t>
      </w:r>
    </w:p>
    <w:p>
      <w:pPr>
        <w:spacing w:after="120" w:line="336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47 个排除板块的共性画像是“新上海人占比 4–5 级＋升学竞争 4–5 级”：闵行（莘庄、七宝、古美、梅陇，策略契合分低至 30）新上海人高度集中、民办开放、本区保护弱；松江九亭作为早期导入段位，适龄儿童密度与“卷度”居全市样本之首（综合 1.45，全市最低）；嘉定新城、江桥户籍净流入高、新城热门校年限趋严；浦东张江、唐镇、三林、北蔡虽教育资源不差，但导入人口基数决定了对口校长期超额。纪要的处置是整片排除而非个案博弈——在确定性优先的目标函数下，不与集中出生的人口结构对赌。</w:t>
      </w:r>
    </w:p>
    <w:p>
      <w:pPr>
        <w:spacing w:before="240" w:after="120"/>
      </w:pPr>
      <w:r>
        <w:rPr>
          <w:rFonts w:ascii="Times New Roman" w:hAnsi="Times New Roman" w:eastAsia="黑体"/>
          <w:b/>
          <w:i w:val="0"/>
          <w:color w:val="0F2A43"/>
          <w:sz w:val="27"/>
        </w:rPr>
        <w:t>7.2 九年一贯制的“年限陷阱”：质量高≠可及</w:t>
      </w:r>
    </w:p>
    <w:p>
      <w:pPr>
        <w:spacing w:after="120" w:line="336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复旦附属九年一贯制学校（徐汇、闵行各一所）常被视作“一步到位”的理想解：小学初中一贯、背靠高校品牌。但其报名条件为“户籍与房产一致且提前约 3 年落户”——本案例孩子 2027 年入学，意味着 2024 年前后即须完成购房落户，时间窗口已经关闭。两板块因此被标注“△条件不符”、列入谨慎档。这一案例的政策含义具有普遍性：学区质量不等于学位可及性，报名年限是与房价同等重要的硬约束，任何“看上去完美”的选项都必须先过时间约束这一关。</w:t>
      </w:r>
    </w:p>
    <w:p>
      <w:pPr>
        <w:spacing w:before="240" w:after="120"/>
      </w:pPr>
      <w:r>
        <w:rPr>
          <w:rFonts w:ascii="Times New Roman" w:hAnsi="Times New Roman" w:eastAsia="黑体"/>
          <w:b/>
          <w:i w:val="0"/>
          <w:color w:val="0F2A43"/>
          <w:sz w:val="27"/>
        </w:rPr>
        <w:t>7.3 高总价高竞争双学区：资源顶尖但不在策略集内</w:t>
      </w:r>
    </w:p>
    <w:p>
      <w:pPr>
        <w:spacing w:after="120" w:line="336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徐汇天平路、湖南路，静安江宁路等“双学区”板块，学校质量全市顶尖（小学、初中均 5 级），但升学竞争同为 5 级、总价 500–1300 万元。在“降竞争、控总价”的策略框架下，它们与导入型新区一样被移出搜索集——理由不同，结论一致：前者买不起“确定性”，后者买不到“确定性”。</w:t>
      </w:r>
    </w:p>
    <w:p>
      <w:pPr>
        <w:spacing w:before="360" w:after="200"/>
      </w:pPr>
      <w:r>
        <w:rPr>
          <w:rFonts w:ascii="Times New Roman" w:hAnsi="Times New Roman" w:eastAsia="黑体"/>
          <w:b/>
          <w:i w:val="0"/>
          <w:color w:val="0F2A43"/>
          <w:sz w:val="32"/>
        </w:rPr>
        <w:t>八、分步购置策略与政策适配</w:t>
      </w:r>
    </w:p>
    <w:p>
      <w:pPr>
        <w:spacing w:before="240" w:after="120"/>
      </w:pPr>
      <w:r>
        <w:rPr>
          <w:rFonts w:ascii="Times New Roman" w:hAnsi="Times New Roman" w:eastAsia="黑体"/>
          <w:b/>
          <w:i w:val="0"/>
          <w:color w:val="0F2A43"/>
          <w:sz w:val="27"/>
        </w:rPr>
        <w:t>8.1 “先小学、后初中”的分步策略</w:t>
      </w:r>
    </w:p>
    <w:p>
      <w:pPr>
        <w:spacing w:after="120" w:line="336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纪要明确否定“一步到位买小初双优”的路径，理由有三：双优标的稀缺且溢价高；小学与初中的最优空间解往往不重合；小升初存在置换与摇号等二次选择机会。分步策略的行动含义是：第一步（当下）锁定低竞争小学学区并完成落户；第二步（小学阶段中后期）依据届时的小升初政策与孩子情况，置换初中学区或参与民办摇号；第三步（初中）利用名额分配到校等制度，将“弱初中满 3 年学籍”转化为冲市重点的通道——差异化降竞争的思路贯穿三个学段。</w:t>
      </w:r>
    </w:p>
    <w:p>
      <w:pPr>
        <w:spacing w:before="240" w:after="120"/>
      </w:pPr>
      <w:r>
        <w:rPr>
          <w:rFonts w:ascii="Times New Roman" w:hAnsi="Times New Roman" w:eastAsia="黑体"/>
          <w:b/>
          <w:i w:val="0"/>
          <w:color w:val="0F2A43"/>
          <w:sz w:val="27"/>
        </w:rPr>
        <w:t>8.2 2027 年入学的时间倒排</w:t>
      </w:r>
    </w:p>
    <w:p>
      <w:pPr>
        <w:spacing w:before="160" w:after="80"/>
        <w:jc w:val="center"/>
      </w:pPr>
      <w:r>
        <w:rPr>
          <w:rFonts w:ascii="Times New Roman" w:hAnsi="Times New Roman" w:eastAsia="黑体"/>
          <w:b/>
          <w:i w:val="0"/>
          <w:color w:val="0F2A43"/>
          <w:sz w:val="21"/>
        </w:rPr>
        <w:t>表 8-1　2027 年入学时间倒排与行动要点（日期以当年文件为准）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1644"/>
            <w:shd w:val="clear" w:fill="0F2A4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FFFFFF"/>
                <w:sz w:val="21"/>
              </w:rPr>
              <w:t>时间</w:t>
            </w:r>
          </w:p>
        </w:tc>
        <w:tc>
          <w:tcPr>
            <w:tcW w:type="dxa" w:w="3175"/>
            <w:shd w:val="clear" w:fill="0F2A4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FFFFFF"/>
                <w:sz w:val="21"/>
              </w:rPr>
              <w:t>事项</w:t>
            </w:r>
          </w:p>
        </w:tc>
        <w:tc>
          <w:tcPr>
            <w:tcW w:type="dxa" w:w="4139"/>
            <w:shd w:val="clear" w:fill="0F2A4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FFFFFF"/>
                <w:sz w:val="21"/>
              </w:rPr>
              <w:t>行动要点</w:t>
            </w:r>
          </w:p>
        </w:tc>
      </w:tr>
      <w:tr>
        <w:tc>
          <w:tcPr>
            <w:tcW w:type="dxa" w:w="164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2026 年内</w:t>
            </w:r>
          </w:p>
        </w:tc>
        <w:tc>
          <w:tcPr>
            <w:tcW w:type="dxa" w:w="317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完成购房、过户与落户</w:t>
            </w:r>
          </w:p>
        </w:tc>
        <w:tc>
          <w:tcPr>
            <w:tcW w:type="dxa" w:w="413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倒排产证与户口迁移周期；核验五年一户与入户年限</w:t>
            </w:r>
          </w:p>
        </w:tc>
      </w:tr>
      <w:tr>
        <w:tc>
          <w:tcPr>
            <w:tcW w:type="dxa" w:w="1644"/>
            <w:shd w:val="clear" w:fill="F2F5F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2027 年 3 月底</w:t>
            </w:r>
          </w:p>
        </w:tc>
        <w:tc>
          <w:tcPr>
            <w:tcW w:type="dxa" w:w="3175"/>
            <w:shd w:val="clear" w:fill="F2F5F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市教委发布当年义务教育招生实施意见</w:t>
            </w:r>
          </w:p>
        </w:tc>
        <w:tc>
          <w:tcPr>
            <w:tcW w:type="dxa" w:w="4139"/>
            <w:shd w:val="clear" w:fill="F2F5F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确认公民办二选一、民办摇号等口径无变化</w:t>
            </w:r>
          </w:p>
        </w:tc>
      </w:tr>
      <w:tr>
        <w:tc>
          <w:tcPr>
            <w:tcW w:type="dxa" w:w="164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2027 年 4 月上旬</w:t>
            </w:r>
          </w:p>
        </w:tc>
        <w:tc>
          <w:tcPr>
            <w:tcW w:type="dxa" w:w="317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各区公布实施方案、对口划片、人户分离细则</w:t>
            </w:r>
          </w:p>
        </w:tc>
        <w:tc>
          <w:tcPr>
            <w:tcW w:type="dxa" w:w="413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逐条核对目标校对口地段表与年限要求</w:t>
            </w:r>
          </w:p>
        </w:tc>
      </w:tr>
      <w:tr>
        <w:tc>
          <w:tcPr>
            <w:tcW w:type="dxa" w:w="1644"/>
            <w:shd w:val="clear" w:fill="F2F5F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2027 年 4 月中下旬</w:t>
            </w:r>
          </w:p>
        </w:tc>
        <w:tc>
          <w:tcPr>
            <w:tcW w:type="dxa" w:w="3175"/>
            <w:shd w:val="clear" w:fill="F2F5F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幼升小信息登记；人户分离申请截止</w:t>
            </w:r>
          </w:p>
        </w:tc>
        <w:tc>
          <w:tcPr>
            <w:tcW w:type="dxa" w:w="4139"/>
            <w:shd w:val="clear" w:fill="F2F5F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在园儿童由幼儿园协助登记；明确关联监护人</w:t>
            </w:r>
          </w:p>
        </w:tc>
      </w:tr>
      <w:tr>
        <w:tc>
          <w:tcPr>
            <w:tcW w:type="dxa" w:w="164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2027 年 5 月上旬</w:t>
            </w:r>
          </w:p>
        </w:tc>
        <w:tc>
          <w:tcPr>
            <w:tcW w:type="dxa" w:w="317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公办/民办报名（二选一）</w:t>
            </w:r>
          </w:p>
        </w:tc>
        <w:tc>
          <w:tcPr>
            <w:tcW w:type="dxa" w:w="413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本策略走公办人户一致路径；民办摇号属另一决策</w:t>
            </w:r>
          </w:p>
        </w:tc>
      </w:tr>
      <w:tr>
        <w:tc>
          <w:tcPr>
            <w:tcW w:type="dxa" w:w="1644"/>
            <w:shd w:val="clear" w:fill="F2F5F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2027 年 5 月中下旬</w:t>
            </w:r>
          </w:p>
        </w:tc>
        <w:tc>
          <w:tcPr>
            <w:tcW w:type="dxa" w:w="3175"/>
            <w:shd w:val="clear" w:fill="F2F5F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公办验证、发放入学告知</w:t>
            </w:r>
          </w:p>
        </w:tc>
        <w:tc>
          <w:tcPr>
            <w:tcW w:type="dxa" w:w="4139"/>
            <w:shd w:val="clear" w:fill="F2F5F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备齐户口簿、房产证、入学信息登记表等材料</w:t>
            </w:r>
          </w:p>
        </w:tc>
      </w:tr>
      <w:tr>
        <w:tc>
          <w:tcPr>
            <w:tcW w:type="dxa" w:w="164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2027 年 8 月</w:t>
            </w:r>
          </w:p>
        </w:tc>
        <w:tc>
          <w:tcPr>
            <w:tcW w:type="dxa" w:w="317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入学通知与学籍对接</w:t>
            </w:r>
          </w:p>
        </w:tc>
        <w:tc>
          <w:tcPr>
            <w:tcW w:type="dxa" w:w="413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完成报到；启动初中路径的中期跟踪</w:t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Times New Roman" w:hAnsi="Times New Roman" w:eastAsia="黑体"/>
          <w:b/>
          <w:i w:val="0"/>
          <w:color w:val="0F2A43"/>
          <w:sz w:val="27"/>
        </w:rPr>
        <w:t>8.3 政策适配的三条核验主线</w:t>
      </w:r>
    </w:p>
    <w:p>
      <w:pPr>
        <w:spacing w:after="80" w:line="336" w:lineRule="auto"/>
        <w:ind w:left="420" w:firstLine="0"/>
      </w:pPr>
      <w:r>
        <w:rPr>
          <w:rFonts w:ascii="Times New Roman" w:hAnsi="Times New Roman" w:eastAsia="宋体"/>
          <w:b w:val="0"/>
          <w:i w:val="0"/>
          <w:color w:val="9A7B12"/>
          <w:sz w:val="21"/>
        </w:rPr>
        <w:t xml:space="preserve">● </w:t>
      </w:r>
      <w:r>
        <w:rPr>
          <w:rFonts w:ascii="Times New Roman" w:hAnsi="Times New Roman" w:eastAsia="宋体"/>
          <w:b/>
          <w:i w:val="0"/>
          <w:sz w:val="24"/>
        </w:rPr>
        <w:t>资格核验：</w:t>
      </w:r>
      <w:r>
        <w:rPr>
          <w:rFonts w:ascii="Times New Roman" w:hAnsi="Times New Roman" w:eastAsia="宋体"/>
          <w:b w:val="0"/>
          <w:i w:val="0"/>
          <w:sz w:val="24"/>
        </w:rPr>
        <w:t>黄浦等区“五年一户”较常见，明珠小学等热门校存在入户年限预警——签约前向区教育局与学校双向核实，必要时写入购房合同解除条款；</w:t>
      </w:r>
    </w:p>
    <w:p>
      <w:pPr>
        <w:spacing w:after="80" w:line="336" w:lineRule="auto"/>
        <w:ind w:left="420" w:firstLine="0"/>
      </w:pPr>
      <w:r>
        <w:rPr>
          <w:rFonts w:ascii="Times New Roman" w:hAnsi="Times New Roman" w:eastAsia="宋体"/>
          <w:b w:val="0"/>
          <w:i w:val="0"/>
          <w:color w:val="9A7B12"/>
          <w:sz w:val="21"/>
        </w:rPr>
        <w:t xml:space="preserve">● </w:t>
      </w:r>
      <w:r>
        <w:rPr>
          <w:rFonts w:ascii="Times New Roman" w:hAnsi="Times New Roman" w:eastAsia="宋体"/>
          <w:b/>
          <w:i w:val="0"/>
          <w:sz w:val="24"/>
        </w:rPr>
        <w:t>类别核验：</w:t>
      </w:r>
      <w:r>
        <w:rPr>
          <w:rFonts w:ascii="Times New Roman" w:hAnsi="Times New Roman" w:eastAsia="宋体"/>
          <w:b w:val="0"/>
          <w:i w:val="0"/>
          <w:sz w:val="24"/>
        </w:rPr>
        <w:t>人户一致要求儿童户籍地址与自有住宅类房产地址一致；祖辈房产、共有产权、租住等情形各区口径不同，须按目标区细则确认类别与排序；</w:t>
      </w:r>
    </w:p>
    <w:p>
      <w:pPr>
        <w:spacing w:after="80" w:line="336" w:lineRule="auto"/>
        <w:ind w:left="420" w:firstLine="0"/>
      </w:pPr>
      <w:r>
        <w:rPr>
          <w:rFonts w:ascii="Times New Roman" w:hAnsi="Times New Roman" w:eastAsia="宋体"/>
          <w:b w:val="0"/>
          <w:i w:val="0"/>
          <w:color w:val="9A7B12"/>
          <w:sz w:val="21"/>
        </w:rPr>
        <w:t xml:space="preserve">● </w:t>
      </w:r>
      <w:r>
        <w:rPr>
          <w:rFonts w:ascii="Times New Roman" w:hAnsi="Times New Roman" w:eastAsia="宋体"/>
          <w:b/>
          <w:i w:val="0"/>
          <w:sz w:val="24"/>
        </w:rPr>
        <w:t>路径核验：</w:t>
      </w:r>
      <w:r>
        <w:rPr>
          <w:rFonts w:ascii="Times New Roman" w:hAnsi="Times New Roman" w:eastAsia="宋体"/>
          <w:b w:val="0"/>
          <w:i w:val="0"/>
          <w:sz w:val="24"/>
        </w:rPr>
        <w:t>若涉及非沪籍或人户分离，路径完全不同（居住证积分、社保连续性、《人户分离居住登记凭证》），须单独评估，不可套用本报告结论。</w:t>
      </w:r>
    </w:p>
    <w:p>
      <w:pPr>
        <w:spacing w:before="360" w:after="200"/>
      </w:pPr>
      <w:r>
        <w:rPr>
          <w:rFonts w:ascii="Times New Roman" w:hAnsi="Times New Roman" w:eastAsia="黑体"/>
          <w:b/>
          <w:i w:val="0"/>
          <w:color w:val="0F2A43"/>
          <w:sz w:val="32"/>
        </w:rPr>
        <w:t>九、市场周期与购置时机的权衡</w:t>
      </w:r>
    </w:p>
    <w:p>
      <w:pPr>
        <w:spacing w:before="240" w:after="120"/>
      </w:pPr>
      <w:r>
        <w:rPr>
          <w:rFonts w:ascii="Times New Roman" w:hAnsi="Times New Roman" w:eastAsia="黑体"/>
          <w:b/>
          <w:i w:val="0"/>
          <w:color w:val="0F2A43"/>
          <w:sz w:val="27"/>
        </w:rPr>
        <w:t>9.1 长周期判断</w:t>
      </w:r>
    </w:p>
    <w:p>
      <w:pPr>
        <w:spacing w:after="120" w:line="336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纪要对上海房价给出的判断是：长周期处于下跌趋势，短周期波动不改变长趋势，仅徐汇滨江等少数优质板块保持上涨；下跌周期可能再持续约 18 年。本报告将其作为情景假设而非确定性预测采纳——它的决策价值不在于“18 年”这个数字，而在于提醒购房者：本次购置大概率发生在资产价格下行通道中。</w:t>
      </w:r>
    </w:p>
    <w:p>
      <w:pPr>
        <w:spacing w:before="240" w:after="120"/>
      </w:pPr>
      <w:r>
        <w:rPr>
          <w:rFonts w:ascii="Times New Roman" w:hAnsi="Times New Roman" w:eastAsia="黑体"/>
          <w:b/>
          <w:i w:val="0"/>
          <w:color w:val="0F2A43"/>
          <w:sz w:val="27"/>
        </w:rPr>
        <w:t>9.2 学位刚需与投资择时的矛盾矩阵</w:t>
      </w:r>
    </w:p>
    <w:p>
      <w:pPr>
        <w:spacing w:after="120" w:line="336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由此产生本案例最后一个、也是最真实的矛盾：从孩子上学需求看，现在就应该买；从房产投资角度看，现在不适合买，建议三年后再买。纪要对此的处置是诚实的——“两种选择没有对错，需要自行决策”。本报告将其结构化为决策矩阵：</w:t>
      </w:r>
    </w:p>
    <w:p>
      <w:pPr>
        <w:spacing w:before="160" w:after="80"/>
        <w:jc w:val="center"/>
      </w:pPr>
      <w:r>
        <w:rPr>
          <w:rFonts w:ascii="Times New Roman" w:hAnsi="Times New Roman" w:eastAsia="黑体"/>
          <w:b/>
          <w:i w:val="0"/>
          <w:color w:val="0F2A43"/>
          <w:sz w:val="21"/>
        </w:rPr>
        <w:t>表 9-1　购置时机决策矩阵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1928"/>
            <w:shd w:val="clear" w:fill="0F2A4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FFFFFF"/>
                <w:sz w:val="21"/>
              </w:rPr>
              <w:t>决策路径</w:t>
            </w:r>
          </w:p>
        </w:tc>
        <w:tc>
          <w:tcPr>
            <w:tcW w:type="dxa" w:w="2608"/>
            <w:shd w:val="clear" w:fill="0F2A4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FFFFFF"/>
                <w:sz w:val="21"/>
              </w:rPr>
              <w:t>学位维度</w:t>
            </w:r>
          </w:p>
        </w:tc>
        <w:tc>
          <w:tcPr>
            <w:tcW w:type="dxa" w:w="2608"/>
            <w:shd w:val="clear" w:fill="0F2A4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FFFFFF"/>
                <w:sz w:val="21"/>
              </w:rPr>
              <w:t>资产维度</w:t>
            </w:r>
          </w:p>
        </w:tc>
        <w:tc>
          <w:tcPr>
            <w:tcW w:type="dxa" w:w="1814"/>
            <w:shd w:val="clear" w:fill="0F2A4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FFFFFF"/>
                <w:sz w:val="21"/>
              </w:rPr>
              <w:t>适配情形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现在购置</w:t>
            </w:r>
          </w:p>
        </w:tc>
        <w:tc>
          <w:tcPr>
            <w:tcW w:type="dxa" w:w="260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锁定 2027 年入学资格，确定性最高</w:t>
            </w:r>
          </w:p>
        </w:tc>
        <w:tc>
          <w:tcPr>
            <w:tcW w:type="dxa" w:w="260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承担约三年下行风险；以 200–350 万低总价控制敞口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学位确定性优先（本纪要主线）</w:t>
            </w:r>
          </w:p>
        </w:tc>
      </w:tr>
      <w:tr>
        <w:tc>
          <w:tcPr>
            <w:tcW w:type="dxa" w:w="1928"/>
            <w:shd w:val="clear" w:fill="F2F5F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三年后购置</w:t>
            </w:r>
          </w:p>
        </w:tc>
        <w:tc>
          <w:tcPr>
            <w:tcW w:type="dxa" w:w="2608"/>
            <w:shd w:val="clear" w:fill="F2F5F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错过 2027 年入学窗口，须另谋途径</w:t>
            </w:r>
          </w:p>
        </w:tc>
        <w:tc>
          <w:tcPr>
            <w:tcW w:type="dxa" w:w="2608"/>
            <w:shd w:val="clear" w:fill="F2F5F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可能获得更低价格与更优标的</w:t>
            </w:r>
          </w:p>
        </w:tc>
        <w:tc>
          <w:tcPr>
            <w:tcW w:type="dxa" w:w="1814"/>
            <w:shd w:val="clear" w:fill="F2F5F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入学另有安排、投资优先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折中：租房＋人户分离/民办</w:t>
            </w:r>
          </w:p>
        </w:tc>
        <w:tc>
          <w:tcPr>
            <w:tcW w:type="dxa" w:w="260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确定性显著低于人户一致，存在统筹风险</w:t>
            </w:r>
          </w:p>
        </w:tc>
        <w:tc>
          <w:tcPr>
            <w:tcW w:type="dxa" w:w="260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不占用购房资金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过渡方案，须逐区核验可行性</w:t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Times New Roman" w:hAnsi="Times New Roman" w:eastAsia="黑体"/>
          <w:b/>
          <w:i w:val="0"/>
          <w:color w:val="0F2A43"/>
          <w:sz w:val="27"/>
        </w:rPr>
        <w:t>9.3 执行建议</w:t>
      </w:r>
    </w:p>
    <w:p>
      <w:pPr>
        <w:spacing w:after="80" w:line="336" w:lineRule="auto"/>
        <w:ind w:left="420" w:firstLine="0"/>
      </w:pPr>
      <w:r>
        <w:rPr>
          <w:rFonts w:ascii="Times New Roman" w:hAnsi="Times New Roman" w:eastAsia="宋体"/>
          <w:b w:val="0"/>
          <w:i w:val="0"/>
          <w:color w:val="9A7B12"/>
          <w:sz w:val="21"/>
        </w:rPr>
        <w:t xml:space="preserve">● </w:t>
      </w:r>
      <w:r>
        <w:rPr>
          <w:rFonts w:ascii="Times New Roman" w:hAnsi="Times New Roman" w:eastAsia="宋体"/>
          <w:b w:val="0"/>
          <w:i w:val="0"/>
          <w:sz w:val="24"/>
        </w:rPr>
        <w:t>若采纳学位逻辑：把本次购置定义为“购买学位资格的消费＋期权”，而非投资，评价标准是入学确定性，不是房价涨跌；</w:t>
      </w:r>
    </w:p>
    <w:p>
      <w:pPr>
        <w:spacing w:after="80" w:line="336" w:lineRule="auto"/>
        <w:ind w:left="420" w:firstLine="0"/>
      </w:pPr>
      <w:r>
        <w:rPr>
          <w:rFonts w:ascii="Times New Roman" w:hAnsi="Times New Roman" w:eastAsia="宋体"/>
          <w:b w:val="0"/>
          <w:i w:val="0"/>
          <w:color w:val="9A7B12"/>
          <w:sz w:val="21"/>
        </w:rPr>
        <w:t xml:space="preserve">● </w:t>
      </w:r>
      <w:r>
        <w:rPr>
          <w:rFonts w:ascii="Times New Roman" w:hAnsi="Times New Roman" w:eastAsia="宋体"/>
          <w:b w:val="0"/>
          <w:i w:val="0"/>
          <w:sz w:val="24"/>
        </w:rPr>
        <w:t>总价锚定 200–350 万元：在下行周期中把绝对损失敞口压到最低，同时该价位段恰与潍坊新村、老城厢、杨浦滨江的供应重合；</w:t>
      </w:r>
    </w:p>
    <w:p>
      <w:pPr>
        <w:spacing w:after="80" w:line="336" w:lineRule="auto"/>
        <w:ind w:left="420" w:firstLine="0"/>
      </w:pPr>
      <w:r>
        <w:rPr>
          <w:rFonts w:ascii="Times New Roman" w:hAnsi="Times New Roman" w:eastAsia="宋体"/>
          <w:b w:val="0"/>
          <w:i w:val="0"/>
          <w:color w:val="9A7B12"/>
          <w:sz w:val="21"/>
        </w:rPr>
        <w:t xml:space="preserve">● </w:t>
      </w:r>
      <w:r>
        <w:rPr>
          <w:rFonts w:ascii="Times New Roman" w:hAnsi="Times New Roman" w:eastAsia="宋体"/>
          <w:b w:val="0"/>
          <w:i w:val="0"/>
          <w:sz w:val="24"/>
        </w:rPr>
        <w:t>优先内环老板块小户型：流动性好、换手成本低，便于小学阶段结束后置换初中学区；</w:t>
      </w:r>
    </w:p>
    <w:p>
      <w:pPr>
        <w:spacing w:after="80" w:line="336" w:lineRule="auto"/>
        <w:ind w:left="420" w:firstLine="0"/>
      </w:pPr>
      <w:r>
        <w:rPr>
          <w:rFonts w:ascii="Times New Roman" w:hAnsi="Times New Roman" w:eastAsia="宋体"/>
          <w:b w:val="0"/>
          <w:i w:val="0"/>
          <w:color w:val="9A7B12"/>
          <w:sz w:val="21"/>
        </w:rPr>
        <w:t xml:space="preserve">● </w:t>
      </w:r>
      <w:r>
        <w:rPr>
          <w:rFonts w:ascii="Times New Roman" w:hAnsi="Times New Roman" w:eastAsia="宋体"/>
          <w:b w:val="0"/>
          <w:i w:val="0"/>
          <w:sz w:val="24"/>
        </w:rPr>
        <w:t>弱化增值预期、强化退出规划：持有期与学段对齐，入学完成即评估持有必要性。</w:t>
      </w:r>
    </w:p>
    <w:p>
      <w:pPr>
        <w:spacing w:before="360" w:after="200"/>
      </w:pPr>
      <w:r>
        <w:rPr>
          <w:rFonts w:ascii="Times New Roman" w:hAnsi="Times New Roman" w:eastAsia="黑体"/>
          <w:b/>
          <w:i w:val="0"/>
          <w:color w:val="0F2A43"/>
          <w:sz w:val="32"/>
        </w:rPr>
        <w:t>十、主要结论与研究启示</w:t>
      </w:r>
    </w:p>
    <w:p>
      <w:pPr>
        <w:spacing w:before="240" w:after="120"/>
      </w:pPr>
      <w:r>
        <w:rPr>
          <w:rFonts w:ascii="Times New Roman" w:hAnsi="Times New Roman" w:eastAsia="黑体"/>
          <w:b/>
          <w:i w:val="0"/>
          <w:color w:val="0F2A43"/>
          <w:sz w:val="27"/>
        </w:rPr>
        <w:t>10.1 主要结论</w:t>
      </w:r>
    </w:p>
    <w:p>
      <w:pPr>
        <w:spacing w:after="80" w:line="336" w:lineRule="auto"/>
        <w:ind w:left="420" w:firstLine="0"/>
      </w:pPr>
      <w:r>
        <w:rPr>
          <w:rFonts w:ascii="Times New Roman" w:hAnsi="Times New Roman" w:eastAsia="宋体"/>
          <w:b w:val="0"/>
          <w:i w:val="0"/>
          <w:color w:val="9A7B12"/>
          <w:sz w:val="21"/>
        </w:rPr>
        <w:t xml:space="preserve">● </w:t>
      </w:r>
      <w:r>
        <w:rPr>
          <w:rFonts w:ascii="Times New Roman" w:hAnsi="Times New Roman" w:eastAsia="宋体"/>
          <w:b/>
          <w:i w:val="0"/>
          <w:sz w:val="24"/>
        </w:rPr>
        <w:t>结论一：</w:t>
      </w:r>
      <w:r>
        <w:rPr>
          <w:rFonts w:ascii="Times New Roman" w:hAnsi="Times New Roman" w:eastAsia="宋体"/>
          <w:b w:val="0"/>
          <w:i w:val="0"/>
          <w:sz w:val="24"/>
        </w:rPr>
        <w:t>目标函数决定搜索空间：为学位而购房与为投资而购房，在板块选择上几乎互为镜像；本案例的最优解只能从前一套逻辑中得出。</w:t>
      </w:r>
    </w:p>
    <w:p>
      <w:pPr>
        <w:spacing w:after="80" w:line="336" w:lineRule="auto"/>
        <w:ind w:left="420" w:firstLine="0"/>
      </w:pPr>
      <w:r>
        <w:rPr>
          <w:rFonts w:ascii="Times New Roman" w:hAnsi="Times New Roman" w:eastAsia="宋体"/>
          <w:b w:val="0"/>
          <w:i w:val="0"/>
          <w:color w:val="9A7B12"/>
          <w:sz w:val="21"/>
        </w:rPr>
        <w:t xml:space="preserve">● </w:t>
      </w:r>
      <w:r>
        <w:rPr>
          <w:rFonts w:ascii="Times New Roman" w:hAnsi="Times New Roman" w:eastAsia="宋体"/>
          <w:b/>
          <w:i w:val="0"/>
          <w:sz w:val="24"/>
        </w:rPr>
        <w:t>结论二：</w:t>
      </w:r>
      <w:r>
        <w:rPr>
          <w:rFonts w:ascii="Times New Roman" w:hAnsi="Times New Roman" w:eastAsia="宋体"/>
          <w:b w:val="0"/>
          <w:i w:val="0"/>
          <w:sz w:val="24"/>
        </w:rPr>
        <w:t>上海升学主矛盾在初升高，学区房的功能边界是义务教育阶段入场券；学段优先级为小学＞初中≫高中。</w:t>
      </w:r>
    </w:p>
    <w:p>
      <w:pPr>
        <w:spacing w:after="80" w:line="336" w:lineRule="auto"/>
        <w:ind w:left="420" w:firstLine="0"/>
      </w:pPr>
      <w:r>
        <w:rPr>
          <w:rFonts w:ascii="Times New Roman" w:hAnsi="Times New Roman" w:eastAsia="宋体"/>
          <w:b w:val="0"/>
          <w:i w:val="0"/>
          <w:color w:val="9A7B12"/>
          <w:sz w:val="21"/>
        </w:rPr>
        <w:t xml:space="preserve">● </w:t>
      </w:r>
      <w:r>
        <w:rPr>
          <w:rFonts w:ascii="Times New Roman" w:hAnsi="Times New Roman" w:eastAsia="宋体"/>
          <w:b/>
          <w:i w:val="0"/>
          <w:sz w:val="24"/>
        </w:rPr>
        <w:t>结论三：</w:t>
      </w:r>
      <w:r>
        <w:rPr>
          <w:rFonts w:ascii="Times New Roman" w:hAnsi="Times New Roman" w:eastAsia="宋体"/>
          <w:b w:val="0"/>
          <w:i w:val="0"/>
          <w:sz w:val="24"/>
        </w:rPr>
        <w:t>升学竞争的空间分异由人口导入机制生成：导入型新区“生源挤压”常态化，空心化老板块存在“确定性溢价”；“学校在、人口出”是差异化的核心判据。</w:t>
      </w:r>
    </w:p>
    <w:p>
      <w:pPr>
        <w:spacing w:after="80" w:line="336" w:lineRule="auto"/>
        <w:ind w:left="420" w:firstLine="0"/>
      </w:pPr>
      <w:r>
        <w:rPr>
          <w:rFonts w:ascii="Times New Roman" w:hAnsi="Times New Roman" w:eastAsia="宋体"/>
          <w:b w:val="0"/>
          <w:i w:val="0"/>
          <w:color w:val="9A7B12"/>
          <w:sz w:val="21"/>
        </w:rPr>
        <w:t xml:space="preserve">● </w:t>
      </w:r>
      <w:r>
        <w:rPr>
          <w:rFonts w:ascii="Times New Roman" w:hAnsi="Times New Roman" w:eastAsia="宋体"/>
          <w:b/>
          <w:i w:val="0"/>
          <w:sz w:val="24"/>
        </w:rPr>
        <w:t>结论四：</w:t>
      </w:r>
      <w:r>
        <w:rPr>
          <w:rFonts w:ascii="Times New Roman" w:hAnsi="Times New Roman" w:eastAsia="宋体"/>
          <w:b w:val="0"/>
          <w:i w:val="0"/>
          <w:sz w:val="24"/>
        </w:rPr>
        <w:t>双源融合评估显示：106 个样本中 15 个强烈推荐、47 个排除，黄浦与杨浦滨江构成第一梯队，浦东潍坊新村为近郊唯一“双源一致”例外；推荐集合高度聚焦。</w:t>
      </w:r>
    </w:p>
    <w:p>
      <w:pPr>
        <w:spacing w:after="80" w:line="336" w:lineRule="auto"/>
        <w:ind w:left="420" w:firstLine="0"/>
      </w:pPr>
      <w:r>
        <w:rPr>
          <w:rFonts w:ascii="Times New Roman" w:hAnsi="Times New Roman" w:eastAsia="宋体"/>
          <w:b w:val="0"/>
          <w:i w:val="0"/>
          <w:color w:val="9A7B12"/>
          <w:sz w:val="21"/>
        </w:rPr>
        <w:t xml:space="preserve">● </w:t>
      </w:r>
      <w:r>
        <w:rPr>
          <w:rFonts w:ascii="Times New Roman" w:hAnsi="Times New Roman" w:eastAsia="宋体"/>
          <w:b/>
          <w:i w:val="0"/>
          <w:sz w:val="24"/>
        </w:rPr>
        <w:t>结论五：</w:t>
      </w:r>
      <w:r>
        <w:rPr>
          <w:rFonts w:ascii="Times New Roman" w:hAnsi="Times New Roman" w:eastAsia="宋体"/>
          <w:b w:val="0"/>
          <w:i w:val="0"/>
          <w:sz w:val="24"/>
        </w:rPr>
        <w:t>时间约束是硬约束：九年一贯制提前 3 年落户的要求使“高质量”选项对 2027 年入学家庭不可及；学区质量必须乘以可及性才是有效选项。</w:t>
      </w:r>
    </w:p>
    <w:p>
      <w:pPr>
        <w:spacing w:after="80" w:line="336" w:lineRule="auto"/>
        <w:ind w:left="420" w:firstLine="0"/>
      </w:pPr>
      <w:r>
        <w:rPr>
          <w:rFonts w:ascii="Times New Roman" w:hAnsi="Times New Roman" w:eastAsia="宋体"/>
          <w:b w:val="0"/>
          <w:i w:val="0"/>
          <w:color w:val="9A7B12"/>
          <w:sz w:val="21"/>
        </w:rPr>
        <w:t xml:space="preserve">● </w:t>
      </w:r>
      <w:r>
        <w:rPr>
          <w:rFonts w:ascii="Times New Roman" w:hAnsi="Times New Roman" w:eastAsia="宋体"/>
          <w:b/>
          <w:i w:val="0"/>
          <w:sz w:val="24"/>
        </w:rPr>
        <w:t>结论六：</w:t>
      </w:r>
      <w:r>
        <w:rPr>
          <w:rFonts w:ascii="Times New Roman" w:hAnsi="Times New Roman" w:eastAsia="宋体"/>
          <w:b w:val="0"/>
          <w:i w:val="0"/>
          <w:sz w:val="24"/>
        </w:rPr>
        <w:t>行动方案收敛为：先小学、后初中；总价锚定 200–350 万元；按“潍坊新村→鞍山/滨江→老城厢→北外滩/曹杨”动线看房；签约前完成五年一户、入户年限、人户一致三项核验。</w:t>
      </w:r>
    </w:p>
    <w:p>
      <w:pPr>
        <w:spacing w:before="240" w:after="120"/>
      </w:pPr>
      <w:r>
        <w:rPr>
          <w:rFonts w:ascii="Times New Roman" w:hAnsi="Times New Roman" w:eastAsia="黑体"/>
          <w:b/>
          <w:i w:val="0"/>
          <w:color w:val="0F2A43"/>
          <w:sz w:val="27"/>
        </w:rPr>
        <w:t>10.2 对住房政策研究的启示</w:t>
      </w:r>
    </w:p>
    <w:p>
      <w:pPr>
        <w:spacing w:after="120" w:line="336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本案例虽为家庭微观决策，却指向一个宏观议题：人口结构与义务教育资源的空间错配。一方面，导入型新区学位供给长期滞后于适龄人口增长，“超额排序”实质是资源短缺的制度化表达；另一方面，旧改流出板块存量学位富余，却因信息不对称而被市场低估。对政策研究者而言，空心化板块的“确定性溢价”提示了存量教育资源再配置的价值——无论是学区片区的动态调整、集团化办学的资源导流，还是面向新市民的学位信息透明化，都有助于把“信息差红利”转化为“配置效率红利”。这也是本团队将持续跟踪的方向。</w:t>
      </w:r>
    </w:p>
    <w:p>
      <w:pPr>
        <w:spacing w:before="240" w:after="120"/>
      </w:pPr>
      <w:r>
        <w:rPr>
          <w:rFonts w:ascii="Times New Roman" w:hAnsi="Times New Roman" w:eastAsia="黑体"/>
          <w:b/>
          <w:i w:val="0"/>
          <w:color w:val="0F2A43"/>
          <w:sz w:val="27"/>
        </w:rPr>
        <w:t>10.3 后续工作</w:t>
      </w:r>
    </w:p>
    <w:p>
      <w:pPr>
        <w:spacing w:after="80" w:line="336" w:lineRule="auto"/>
        <w:ind w:left="420" w:firstLine="0"/>
      </w:pPr>
      <w:r>
        <w:rPr>
          <w:rFonts w:ascii="Times New Roman" w:hAnsi="Times New Roman" w:eastAsia="宋体"/>
          <w:b w:val="0"/>
          <w:i w:val="0"/>
          <w:color w:val="9A7B12"/>
          <w:sz w:val="21"/>
        </w:rPr>
        <w:t xml:space="preserve">● </w:t>
      </w:r>
      <w:r>
        <w:rPr>
          <w:rFonts w:ascii="Times New Roman" w:hAnsi="Times New Roman" w:eastAsia="宋体"/>
          <w:b w:val="0"/>
          <w:i w:val="0"/>
          <w:sz w:val="24"/>
        </w:rPr>
        <w:t>跟踪 2027 年各区招生细则，对总表对口与年限字段做年度校准；</w:t>
      </w:r>
    </w:p>
    <w:p>
      <w:pPr>
        <w:spacing w:after="80" w:line="336" w:lineRule="auto"/>
        <w:ind w:left="420" w:firstLine="0"/>
      </w:pPr>
      <w:r>
        <w:rPr>
          <w:rFonts w:ascii="Times New Roman" w:hAnsi="Times New Roman" w:eastAsia="宋体"/>
          <w:b w:val="0"/>
          <w:i w:val="0"/>
          <w:color w:val="9A7B12"/>
          <w:sz w:val="21"/>
        </w:rPr>
        <w:t xml:space="preserve">● </w:t>
      </w:r>
      <w:r>
        <w:rPr>
          <w:rFonts w:ascii="Times New Roman" w:hAnsi="Times New Roman" w:eastAsia="宋体"/>
          <w:b w:val="0"/>
          <w:i w:val="0"/>
          <w:sz w:val="24"/>
        </w:rPr>
        <w:t>将空心化指标由专家评分升级为常住人口、出生人口与学位供给的多源量化合成；</w:t>
      </w:r>
    </w:p>
    <w:p>
      <w:pPr>
        <w:spacing w:after="80" w:line="336" w:lineRule="auto"/>
        <w:ind w:left="420" w:firstLine="0"/>
      </w:pPr>
      <w:r>
        <w:rPr>
          <w:rFonts w:ascii="Times New Roman" w:hAnsi="Times New Roman" w:eastAsia="宋体"/>
          <w:b w:val="0"/>
          <w:i w:val="0"/>
          <w:color w:val="9A7B12"/>
          <w:sz w:val="21"/>
        </w:rPr>
        <w:t xml:space="preserve">● </w:t>
      </w:r>
      <w:r>
        <w:rPr>
          <w:rFonts w:ascii="Times New Roman" w:hAnsi="Times New Roman" w:eastAsia="宋体"/>
          <w:b w:val="0"/>
          <w:i w:val="0"/>
          <w:sz w:val="24"/>
        </w:rPr>
        <w:t>把本评估框架推广至初中置换决策与名额分配生态的动态评估。</w:t>
      </w:r>
    </w:p>
    <w:p>
      <w:r>
        <w:br w:type="page"/>
      </w:r>
    </w:p>
    <w:p>
      <w:pPr>
        <w:spacing w:before="360" w:after="200"/>
      </w:pPr>
      <w:r>
        <w:rPr>
          <w:rFonts w:ascii="Times New Roman" w:hAnsi="Times New Roman" w:eastAsia="黑体"/>
          <w:b/>
          <w:i w:val="0"/>
          <w:color w:val="0F2A43"/>
          <w:sz w:val="32"/>
        </w:rPr>
        <w:t>附录 A　本轮入选看房清单（18 板块）</w:t>
      </w:r>
    </w:p>
    <w:p>
      <w:pPr>
        <w:spacing w:after="120" w:line="336" w:lineRule="auto"/>
        <w:jc w:val="both"/>
      </w:pPr>
      <w:r>
        <w:rPr>
          <w:rFonts w:ascii="Times New Roman" w:hAnsi="Times New Roman" w:eastAsia="楷体"/>
          <w:b w:val="0"/>
          <w:i w:val="0"/>
          <w:color w:val="5B6A7A"/>
          <w:sz w:val="21"/>
        </w:rPr>
        <w:t>建议顺序：潍坊新村（世纪大道南）→ 杨浦鞍山/滨江 → 黄浦老城厢 → 虹口/曹杨等次优观察。</w:t>
      </w:r>
    </w:p>
    <w:p>
      <w:pPr>
        <w:spacing w:before="160" w:after="80"/>
        <w:jc w:val="center"/>
      </w:pPr>
      <w:r>
        <w:rPr>
          <w:rFonts w:ascii="Times New Roman" w:hAnsi="Times New Roman" w:eastAsia="黑体"/>
          <w:b/>
          <w:i w:val="0"/>
          <w:color w:val="0F2A43"/>
          <w:sz w:val="21"/>
        </w:rPr>
        <w:t>表 A-1　本轮入选看房清单（融合后）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5"/>
        <w:gridCol w:w="995"/>
        <w:gridCol w:w="995"/>
        <w:gridCol w:w="995"/>
        <w:gridCol w:w="995"/>
        <w:gridCol w:w="995"/>
        <w:gridCol w:w="995"/>
        <w:gridCol w:w="995"/>
        <w:gridCol w:w="995"/>
      </w:tblGrid>
      <w:tr>
        <w:tc>
          <w:tcPr>
            <w:tcW w:type="dxa" w:w="510"/>
            <w:shd w:val="clear" w:fill="0F2A4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FFFFFF"/>
                <w:sz w:val="19"/>
              </w:rPr>
              <w:t>序</w:t>
            </w:r>
          </w:p>
        </w:tc>
        <w:tc>
          <w:tcPr>
            <w:tcW w:type="dxa" w:w="964"/>
            <w:shd w:val="clear" w:fill="0F2A4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FFFFFF"/>
                <w:sz w:val="19"/>
              </w:rPr>
              <w:t>等级</w:t>
            </w:r>
          </w:p>
        </w:tc>
        <w:tc>
          <w:tcPr>
            <w:tcW w:type="dxa" w:w="1361"/>
            <w:shd w:val="clear" w:fill="0F2A4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FFFFFF"/>
                <w:sz w:val="19"/>
              </w:rPr>
              <w:t>融合结论</w:t>
            </w:r>
          </w:p>
        </w:tc>
        <w:tc>
          <w:tcPr>
            <w:tcW w:type="dxa" w:w="680"/>
            <w:shd w:val="clear" w:fill="0F2A4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FFFFFF"/>
                <w:sz w:val="19"/>
              </w:rPr>
              <w:t>区</w:t>
            </w:r>
          </w:p>
        </w:tc>
        <w:tc>
          <w:tcPr>
            <w:tcW w:type="dxa" w:w="1247"/>
            <w:shd w:val="clear" w:fill="0F2A4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FFFFFF"/>
                <w:sz w:val="19"/>
              </w:rPr>
              <w:t>板块</w:t>
            </w:r>
          </w:p>
        </w:tc>
        <w:tc>
          <w:tcPr>
            <w:tcW w:type="dxa" w:w="1814"/>
            <w:shd w:val="clear" w:fill="0F2A4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FFFFFF"/>
                <w:sz w:val="19"/>
              </w:rPr>
              <w:t>对口小学</w:t>
            </w:r>
          </w:p>
        </w:tc>
        <w:tc>
          <w:tcPr>
            <w:tcW w:type="dxa" w:w="1814"/>
            <w:shd w:val="clear" w:fill="0F2A4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FFFFFF"/>
                <w:sz w:val="19"/>
              </w:rPr>
              <w:t>对口初中</w:t>
            </w:r>
          </w:p>
        </w:tc>
        <w:tc>
          <w:tcPr>
            <w:tcW w:type="dxa" w:w="1077"/>
            <w:shd w:val="clear" w:fill="0F2A4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FFFFFF"/>
                <w:sz w:val="19"/>
              </w:rPr>
              <w:t>总价区间</w:t>
            </w:r>
          </w:p>
        </w:tc>
        <w:tc>
          <w:tcPr>
            <w:tcW w:type="dxa" w:w="624"/>
            <w:shd w:val="clear" w:fill="0F2A4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FFFFFF"/>
                <w:sz w:val="19"/>
              </w:rPr>
              <w:t>评分</w:t>
            </w:r>
          </w:p>
        </w:tc>
      </w:tr>
      <w:tr>
        <w:tc>
          <w:tcPr>
            <w:tcW w:type="dxa" w:w="510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</w:t>
            </w:r>
          </w:p>
        </w:tc>
        <w:tc>
          <w:tcPr>
            <w:tcW w:type="dxa" w:w="96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★★★强烈推荐</w:t>
            </w:r>
          </w:p>
        </w:tc>
        <w:tc>
          <w:tcPr>
            <w:tcW w:type="dxa" w:w="136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双源一致·优选</w:t>
            </w:r>
          </w:p>
        </w:tc>
        <w:tc>
          <w:tcPr>
            <w:tcW w:type="dxa" w:w="680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黄浦</w:t>
            </w:r>
          </w:p>
        </w:tc>
        <w:tc>
          <w:tcPr>
            <w:tcW w:type="dxa" w:w="124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豫园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福佑路第一小学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市八、大同初</w:t>
            </w:r>
          </w:p>
        </w:tc>
        <w:tc>
          <w:tcPr>
            <w:tcW w:type="dxa" w:w="107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200–350万</w:t>
            </w:r>
          </w:p>
        </w:tc>
        <w:tc>
          <w:tcPr>
            <w:tcW w:type="dxa" w:w="6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4.4</w:t>
            </w:r>
          </w:p>
        </w:tc>
      </w:tr>
      <w:tr>
        <w:tc>
          <w:tcPr>
            <w:tcW w:type="dxa" w:w="510"/>
            <w:shd w:val="clear" w:fill="F2F5F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2</w:t>
            </w:r>
          </w:p>
        </w:tc>
        <w:tc>
          <w:tcPr>
            <w:tcW w:type="dxa" w:w="964"/>
            <w:shd w:val="clear" w:fill="F2F5F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★★★强烈推荐</w:t>
            </w:r>
          </w:p>
        </w:tc>
        <w:tc>
          <w:tcPr>
            <w:tcW w:type="dxa" w:w="1361"/>
            <w:shd w:val="clear" w:fill="F2F5F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双源一致·优选</w:t>
            </w:r>
          </w:p>
        </w:tc>
        <w:tc>
          <w:tcPr>
            <w:tcW w:type="dxa" w:w="680"/>
            <w:shd w:val="clear" w:fill="F2F5F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浦东</w:t>
            </w:r>
          </w:p>
        </w:tc>
        <w:tc>
          <w:tcPr>
            <w:tcW w:type="dxa" w:w="1247"/>
            <w:shd w:val="clear" w:fill="F2F5F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潍坊新村</w:t>
            </w:r>
          </w:p>
        </w:tc>
        <w:tc>
          <w:tcPr>
            <w:tcW w:type="dxa" w:w="1814"/>
            <w:shd w:val="clear" w:fill="F2F5F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明珠小学A/B区、浦明附小潍坊校区</w:t>
            </w:r>
          </w:p>
        </w:tc>
        <w:tc>
          <w:tcPr>
            <w:tcW w:type="dxa" w:w="1814"/>
            <w:shd w:val="clear" w:fill="F2F5F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进才中学北校、洋泾菊园（需看对口）</w:t>
            </w:r>
          </w:p>
        </w:tc>
        <w:tc>
          <w:tcPr>
            <w:tcW w:type="dxa" w:w="1077"/>
            <w:shd w:val="clear" w:fill="F2F5F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200–350万</w:t>
            </w:r>
          </w:p>
        </w:tc>
        <w:tc>
          <w:tcPr>
            <w:tcW w:type="dxa" w:w="624"/>
            <w:shd w:val="clear" w:fill="F2F5F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4.39</w:t>
            </w:r>
          </w:p>
        </w:tc>
      </w:tr>
      <w:tr>
        <w:tc>
          <w:tcPr>
            <w:tcW w:type="dxa" w:w="510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3</w:t>
            </w:r>
          </w:p>
        </w:tc>
        <w:tc>
          <w:tcPr>
            <w:tcW w:type="dxa" w:w="96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★★★强烈推荐</w:t>
            </w:r>
          </w:p>
        </w:tc>
        <w:tc>
          <w:tcPr>
            <w:tcW w:type="dxa" w:w="136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双源一致·优选</w:t>
            </w:r>
          </w:p>
        </w:tc>
        <w:tc>
          <w:tcPr>
            <w:tcW w:type="dxa" w:w="680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黄浦</w:t>
            </w:r>
          </w:p>
        </w:tc>
        <w:tc>
          <w:tcPr>
            <w:tcW w:type="dxa" w:w="124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外滩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北京东路小学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格致初、大同初</w:t>
            </w:r>
          </w:p>
        </w:tc>
        <w:tc>
          <w:tcPr>
            <w:tcW w:type="dxa" w:w="107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220–400万</w:t>
            </w:r>
          </w:p>
        </w:tc>
        <w:tc>
          <w:tcPr>
            <w:tcW w:type="dxa" w:w="6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4.33</w:t>
            </w:r>
          </w:p>
        </w:tc>
      </w:tr>
      <w:tr>
        <w:tc>
          <w:tcPr>
            <w:tcW w:type="dxa" w:w="510"/>
            <w:shd w:val="clear" w:fill="F2F5F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4</w:t>
            </w:r>
          </w:p>
        </w:tc>
        <w:tc>
          <w:tcPr>
            <w:tcW w:type="dxa" w:w="964"/>
            <w:shd w:val="clear" w:fill="F2F5F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★★★强烈推荐</w:t>
            </w:r>
          </w:p>
        </w:tc>
        <w:tc>
          <w:tcPr>
            <w:tcW w:type="dxa" w:w="1361"/>
            <w:shd w:val="clear" w:fill="F2F5F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双源一致·优选</w:t>
            </w:r>
          </w:p>
        </w:tc>
        <w:tc>
          <w:tcPr>
            <w:tcW w:type="dxa" w:w="680"/>
            <w:shd w:val="clear" w:fill="F2F5F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黄浦</w:t>
            </w:r>
          </w:p>
        </w:tc>
        <w:tc>
          <w:tcPr>
            <w:tcW w:type="dxa" w:w="1247"/>
            <w:shd w:val="clear" w:fill="F2F5F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南京东路</w:t>
            </w:r>
          </w:p>
        </w:tc>
        <w:tc>
          <w:tcPr>
            <w:tcW w:type="dxa" w:w="1814"/>
            <w:shd w:val="clear" w:fill="F2F5F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北京东路小学</w:t>
            </w:r>
          </w:p>
        </w:tc>
        <w:tc>
          <w:tcPr>
            <w:tcW w:type="dxa" w:w="1814"/>
            <w:shd w:val="clear" w:fill="F2F5F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格致初、大同初</w:t>
            </w:r>
          </w:p>
        </w:tc>
        <w:tc>
          <w:tcPr>
            <w:tcW w:type="dxa" w:w="1077"/>
            <w:shd w:val="clear" w:fill="F2F5F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230–420万</w:t>
            </w:r>
          </w:p>
        </w:tc>
        <w:tc>
          <w:tcPr>
            <w:tcW w:type="dxa" w:w="624"/>
            <w:shd w:val="clear" w:fill="F2F5F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4.31</w:t>
            </w:r>
          </w:p>
        </w:tc>
      </w:tr>
      <w:tr>
        <w:tc>
          <w:tcPr>
            <w:tcW w:type="dxa" w:w="510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5</w:t>
            </w:r>
          </w:p>
        </w:tc>
        <w:tc>
          <w:tcPr>
            <w:tcW w:type="dxa" w:w="96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★★★强烈推荐</w:t>
            </w:r>
          </w:p>
        </w:tc>
        <w:tc>
          <w:tcPr>
            <w:tcW w:type="dxa" w:w="136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融合分析优选</w:t>
            </w:r>
          </w:p>
        </w:tc>
        <w:tc>
          <w:tcPr>
            <w:tcW w:type="dxa" w:w="680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黄浦</w:t>
            </w:r>
          </w:p>
        </w:tc>
        <w:tc>
          <w:tcPr>
            <w:tcW w:type="dxa" w:w="124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半淞园路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上实南校小学部、黄浦一中心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市八、大同初</w:t>
            </w:r>
          </w:p>
        </w:tc>
        <w:tc>
          <w:tcPr>
            <w:tcW w:type="dxa" w:w="107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250–450万</w:t>
            </w:r>
          </w:p>
        </w:tc>
        <w:tc>
          <w:tcPr>
            <w:tcW w:type="dxa" w:w="6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4.14</w:t>
            </w:r>
          </w:p>
        </w:tc>
      </w:tr>
      <w:tr>
        <w:tc>
          <w:tcPr>
            <w:tcW w:type="dxa" w:w="510"/>
            <w:shd w:val="clear" w:fill="F2F5F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6</w:t>
            </w:r>
          </w:p>
        </w:tc>
        <w:tc>
          <w:tcPr>
            <w:tcW w:type="dxa" w:w="964"/>
            <w:shd w:val="clear" w:fill="F2F5F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★★★强烈推荐</w:t>
            </w:r>
          </w:p>
        </w:tc>
        <w:tc>
          <w:tcPr>
            <w:tcW w:type="dxa" w:w="1361"/>
            <w:shd w:val="clear" w:fill="F2F5F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双源一致·优选</w:t>
            </w:r>
          </w:p>
        </w:tc>
        <w:tc>
          <w:tcPr>
            <w:tcW w:type="dxa" w:w="680"/>
            <w:shd w:val="clear" w:fill="F2F5F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黄浦</w:t>
            </w:r>
          </w:p>
        </w:tc>
        <w:tc>
          <w:tcPr>
            <w:tcW w:type="dxa" w:w="1247"/>
            <w:shd w:val="clear" w:fill="F2F5F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老西门</w:t>
            </w:r>
          </w:p>
        </w:tc>
        <w:tc>
          <w:tcPr>
            <w:tcW w:type="dxa" w:w="1814"/>
            <w:shd w:val="clear" w:fill="F2F5F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蓬莱二小、黄浦一中心</w:t>
            </w:r>
          </w:p>
        </w:tc>
        <w:tc>
          <w:tcPr>
            <w:tcW w:type="dxa" w:w="1814"/>
            <w:shd w:val="clear" w:fill="F2F5F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市八、大同初</w:t>
            </w:r>
          </w:p>
        </w:tc>
        <w:tc>
          <w:tcPr>
            <w:tcW w:type="dxa" w:w="1077"/>
            <w:shd w:val="clear" w:fill="F2F5F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200–380万</w:t>
            </w:r>
          </w:p>
        </w:tc>
        <w:tc>
          <w:tcPr>
            <w:tcW w:type="dxa" w:w="624"/>
            <w:shd w:val="clear" w:fill="F2F5F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4.12</w:t>
            </w:r>
          </w:p>
        </w:tc>
      </w:tr>
      <w:tr>
        <w:tc>
          <w:tcPr>
            <w:tcW w:type="dxa" w:w="510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7</w:t>
            </w:r>
          </w:p>
        </w:tc>
        <w:tc>
          <w:tcPr>
            <w:tcW w:type="dxa" w:w="96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★★★强烈推荐</w:t>
            </w:r>
          </w:p>
        </w:tc>
        <w:tc>
          <w:tcPr>
            <w:tcW w:type="dxa" w:w="136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双源一致·优选</w:t>
            </w:r>
          </w:p>
        </w:tc>
        <w:tc>
          <w:tcPr>
            <w:tcW w:type="dxa" w:w="680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黄浦</w:t>
            </w:r>
          </w:p>
        </w:tc>
        <w:tc>
          <w:tcPr>
            <w:tcW w:type="dxa" w:w="124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小东门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董家渡路第二小学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市八、大同初</w:t>
            </w:r>
          </w:p>
        </w:tc>
        <w:tc>
          <w:tcPr>
            <w:tcW w:type="dxa" w:w="107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200–380万</w:t>
            </w:r>
          </w:p>
        </w:tc>
        <w:tc>
          <w:tcPr>
            <w:tcW w:type="dxa" w:w="6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4.12</w:t>
            </w:r>
          </w:p>
        </w:tc>
      </w:tr>
      <w:tr>
        <w:tc>
          <w:tcPr>
            <w:tcW w:type="dxa" w:w="510"/>
            <w:shd w:val="clear" w:fill="F2F5F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8</w:t>
            </w:r>
          </w:p>
        </w:tc>
        <w:tc>
          <w:tcPr>
            <w:tcW w:type="dxa" w:w="964"/>
            <w:shd w:val="clear" w:fill="F2F5F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★★★强烈推荐</w:t>
            </w:r>
          </w:p>
        </w:tc>
        <w:tc>
          <w:tcPr>
            <w:tcW w:type="dxa" w:w="1361"/>
            <w:shd w:val="clear" w:fill="F2F5F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双源一致·优选</w:t>
            </w:r>
          </w:p>
        </w:tc>
        <w:tc>
          <w:tcPr>
            <w:tcW w:type="dxa" w:w="680"/>
            <w:shd w:val="clear" w:fill="F2F5F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杨浦</w:t>
            </w:r>
          </w:p>
        </w:tc>
        <w:tc>
          <w:tcPr>
            <w:tcW w:type="dxa" w:w="1247"/>
            <w:shd w:val="clear" w:fill="F2F5F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东外滩/杨浦滨江</w:t>
            </w:r>
          </w:p>
        </w:tc>
        <w:tc>
          <w:tcPr>
            <w:tcW w:type="dxa" w:w="1814"/>
            <w:shd w:val="clear" w:fill="F2F5F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杨浦小学、杭州路第一小学</w:t>
            </w:r>
          </w:p>
        </w:tc>
        <w:tc>
          <w:tcPr>
            <w:tcW w:type="dxa" w:w="1814"/>
            <w:shd w:val="clear" w:fill="F2F5F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杨浦初级、东辽阳中学</w:t>
            </w:r>
          </w:p>
        </w:tc>
        <w:tc>
          <w:tcPr>
            <w:tcW w:type="dxa" w:w="1077"/>
            <w:shd w:val="clear" w:fill="F2F5F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200–400万</w:t>
            </w:r>
          </w:p>
        </w:tc>
        <w:tc>
          <w:tcPr>
            <w:tcW w:type="dxa" w:w="624"/>
            <w:shd w:val="clear" w:fill="F2F5F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4.1</w:t>
            </w:r>
          </w:p>
        </w:tc>
      </w:tr>
      <w:tr>
        <w:tc>
          <w:tcPr>
            <w:tcW w:type="dxa" w:w="510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9</w:t>
            </w:r>
          </w:p>
        </w:tc>
        <w:tc>
          <w:tcPr>
            <w:tcW w:type="dxa" w:w="96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★★★强烈推荐</w:t>
            </w:r>
          </w:p>
        </w:tc>
        <w:tc>
          <w:tcPr>
            <w:tcW w:type="dxa" w:w="136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融合分析优选</w:t>
            </w:r>
          </w:p>
        </w:tc>
        <w:tc>
          <w:tcPr>
            <w:tcW w:type="dxa" w:w="680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黄浦</w:t>
            </w:r>
          </w:p>
        </w:tc>
        <w:tc>
          <w:tcPr>
            <w:tcW w:type="dxa" w:w="124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淮海中路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巨鹿路第一小学、卢湾二中心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向明初、格致初</w:t>
            </w:r>
          </w:p>
        </w:tc>
        <w:tc>
          <w:tcPr>
            <w:tcW w:type="dxa" w:w="107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350–800万</w:t>
            </w:r>
          </w:p>
        </w:tc>
        <w:tc>
          <w:tcPr>
            <w:tcW w:type="dxa" w:w="6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3.79</w:t>
            </w:r>
          </w:p>
        </w:tc>
      </w:tr>
      <w:tr>
        <w:tc>
          <w:tcPr>
            <w:tcW w:type="dxa" w:w="510"/>
            <w:shd w:val="clear" w:fill="F2F5F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10</w:t>
            </w:r>
          </w:p>
        </w:tc>
        <w:tc>
          <w:tcPr>
            <w:tcW w:type="dxa" w:w="964"/>
            <w:shd w:val="clear" w:fill="F2F5F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★★★强烈推荐</w:t>
            </w:r>
          </w:p>
        </w:tc>
        <w:tc>
          <w:tcPr>
            <w:tcW w:type="dxa" w:w="1361"/>
            <w:shd w:val="clear" w:fill="F2F5F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融合分析优选</w:t>
            </w:r>
          </w:p>
        </w:tc>
        <w:tc>
          <w:tcPr>
            <w:tcW w:type="dxa" w:w="680"/>
            <w:shd w:val="clear" w:fill="F2F5F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普陀</w:t>
            </w:r>
          </w:p>
        </w:tc>
        <w:tc>
          <w:tcPr>
            <w:tcW w:type="dxa" w:w="1247"/>
            <w:shd w:val="clear" w:fill="F2F5F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曹杨</w:t>
            </w:r>
          </w:p>
        </w:tc>
        <w:tc>
          <w:tcPr>
            <w:tcW w:type="dxa" w:w="1814"/>
            <w:shd w:val="clear" w:fill="F2F5F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曹杨二小、曹杨实验小学</w:t>
            </w:r>
          </w:p>
        </w:tc>
        <w:tc>
          <w:tcPr>
            <w:tcW w:type="dxa" w:w="1814"/>
            <w:shd w:val="clear" w:fill="F2F5F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曹杨二中附属</w:t>
            </w:r>
          </w:p>
        </w:tc>
        <w:tc>
          <w:tcPr>
            <w:tcW w:type="dxa" w:w="1077"/>
            <w:shd w:val="clear" w:fill="F2F5F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250–420万</w:t>
            </w:r>
          </w:p>
        </w:tc>
        <w:tc>
          <w:tcPr>
            <w:tcW w:type="dxa" w:w="624"/>
            <w:shd w:val="clear" w:fill="F2F5F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3.73</w:t>
            </w:r>
          </w:p>
        </w:tc>
      </w:tr>
      <w:tr>
        <w:tc>
          <w:tcPr>
            <w:tcW w:type="dxa" w:w="510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11</w:t>
            </w:r>
          </w:p>
        </w:tc>
        <w:tc>
          <w:tcPr>
            <w:tcW w:type="dxa" w:w="96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★★★强烈推荐</w:t>
            </w:r>
          </w:p>
        </w:tc>
        <w:tc>
          <w:tcPr>
            <w:tcW w:type="dxa" w:w="136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双源一致·优选</w:t>
            </w:r>
          </w:p>
        </w:tc>
        <w:tc>
          <w:tcPr>
            <w:tcW w:type="dxa" w:w="680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虹口</w:t>
            </w:r>
          </w:p>
        </w:tc>
        <w:tc>
          <w:tcPr>
            <w:tcW w:type="dxa" w:w="124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北外滩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霍山路小学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继光中学、北郊学校</w:t>
            </w:r>
          </w:p>
        </w:tc>
        <w:tc>
          <w:tcPr>
            <w:tcW w:type="dxa" w:w="107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250–450万</w:t>
            </w:r>
          </w:p>
        </w:tc>
        <w:tc>
          <w:tcPr>
            <w:tcW w:type="dxa" w:w="6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3.72</w:t>
            </w:r>
          </w:p>
        </w:tc>
      </w:tr>
      <w:tr>
        <w:tc>
          <w:tcPr>
            <w:tcW w:type="dxa" w:w="510"/>
            <w:shd w:val="clear" w:fill="F2F5F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12</w:t>
            </w:r>
          </w:p>
        </w:tc>
        <w:tc>
          <w:tcPr>
            <w:tcW w:type="dxa" w:w="964"/>
            <w:shd w:val="clear" w:fill="F2F5F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★★★强烈推荐</w:t>
            </w:r>
          </w:p>
        </w:tc>
        <w:tc>
          <w:tcPr>
            <w:tcW w:type="dxa" w:w="1361"/>
            <w:shd w:val="clear" w:fill="F2F5F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融合分析优选</w:t>
            </w:r>
          </w:p>
        </w:tc>
        <w:tc>
          <w:tcPr>
            <w:tcW w:type="dxa" w:w="680"/>
            <w:shd w:val="clear" w:fill="F2F5F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长宁</w:t>
            </w:r>
          </w:p>
        </w:tc>
        <w:tc>
          <w:tcPr>
            <w:tcW w:type="dxa" w:w="1247"/>
            <w:shd w:val="clear" w:fill="F2F5F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天山</w:t>
            </w:r>
          </w:p>
        </w:tc>
        <w:tc>
          <w:tcPr>
            <w:tcW w:type="dxa" w:w="1814"/>
            <w:shd w:val="clear" w:fill="F2F5F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天山第一小学</w:t>
            </w:r>
          </w:p>
        </w:tc>
        <w:tc>
          <w:tcPr>
            <w:tcW w:type="dxa" w:w="1814"/>
            <w:shd w:val="clear" w:fill="F2F5F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天山中学</w:t>
            </w:r>
          </w:p>
        </w:tc>
        <w:tc>
          <w:tcPr>
            <w:tcW w:type="dxa" w:w="1077"/>
            <w:shd w:val="clear" w:fill="F2F5F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300–550万</w:t>
            </w:r>
          </w:p>
        </w:tc>
        <w:tc>
          <w:tcPr>
            <w:tcW w:type="dxa" w:w="624"/>
            <w:shd w:val="clear" w:fill="F2F5F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3.64</w:t>
            </w:r>
          </w:p>
        </w:tc>
      </w:tr>
      <w:tr>
        <w:tc>
          <w:tcPr>
            <w:tcW w:type="dxa" w:w="510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13</w:t>
            </w:r>
          </w:p>
        </w:tc>
        <w:tc>
          <w:tcPr>
            <w:tcW w:type="dxa" w:w="96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★★★强烈推荐</w:t>
            </w:r>
          </w:p>
        </w:tc>
        <w:tc>
          <w:tcPr>
            <w:tcW w:type="dxa" w:w="136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双源一致·优选</w:t>
            </w:r>
          </w:p>
        </w:tc>
        <w:tc>
          <w:tcPr>
            <w:tcW w:type="dxa" w:w="680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黄浦</w:t>
            </w:r>
          </w:p>
        </w:tc>
        <w:tc>
          <w:tcPr>
            <w:tcW w:type="dxa" w:w="124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打浦桥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黄浦一中心、卢湾二中心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向明初、卢湾中学</w:t>
            </w:r>
          </w:p>
        </w:tc>
        <w:tc>
          <w:tcPr>
            <w:tcW w:type="dxa" w:w="107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300–600万</w:t>
            </w:r>
          </w:p>
        </w:tc>
        <w:tc>
          <w:tcPr>
            <w:tcW w:type="dxa" w:w="6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3.51</w:t>
            </w:r>
          </w:p>
        </w:tc>
      </w:tr>
      <w:tr>
        <w:tc>
          <w:tcPr>
            <w:tcW w:type="dxa" w:w="510"/>
            <w:shd w:val="clear" w:fill="F2F5F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14</w:t>
            </w:r>
          </w:p>
        </w:tc>
        <w:tc>
          <w:tcPr>
            <w:tcW w:type="dxa" w:w="964"/>
            <w:shd w:val="clear" w:fill="F2F5F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★★★强烈推荐</w:t>
            </w:r>
          </w:p>
        </w:tc>
        <w:tc>
          <w:tcPr>
            <w:tcW w:type="dxa" w:w="1361"/>
            <w:shd w:val="clear" w:fill="F2F5F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纪要优选·上调</w:t>
            </w:r>
          </w:p>
        </w:tc>
        <w:tc>
          <w:tcPr>
            <w:tcW w:type="dxa" w:w="680"/>
            <w:shd w:val="clear" w:fill="F2F5F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黄浦</w:t>
            </w:r>
          </w:p>
        </w:tc>
        <w:tc>
          <w:tcPr>
            <w:tcW w:type="dxa" w:w="1247"/>
            <w:shd w:val="clear" w:fill="F2F5F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五里桥</w:t>
            </w:r>
          </w:p>
        </w:tc>
        <w:tc>
          <w:tcPr>
            <w:tcW w:type="dxa" w:w="1814"/>
            <w:shd w:val="clear" w:fill="F2F5F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卢湾二中心、黄浦一中心</w:t>
            </w:r>
          </w:p>
        </w:tc>
        <w:tc>
          <w:tcPr>
            <w:tcW w:type="dxa" w:w="1814"/>
            <w:shd w:val="clear" w:fill="F2F5F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向明初、卢湾中学</w:t>
            </w:r>
          </w:p>
        </w:tc>
        <w:tc>
          <w:tcPr>
            <w:tcW w:type="dxa" w:w="1077"/>
            <w:shd w:val="clear" w:fill="F2F5F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280–500万</w:t>
            </w:r>
          </w:p>
        </w:tc>
        <w:tc>
          <w:tcPr>
            <w:tcW w:type="dxa" w:w="624"/>
            <w:shd w:val="clear" w:fill="F2F5F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3.42</w:t>
            </w:r>
          </w:p>
        </w:tc>
      </w:tr>
      <w:tr>
        <w:tc>
          <w:tcPr>
            <w:tcW w:type="dxa" w:w="510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15</w:t>
            </w:r>
          </w:p>
        </w:tc>
        <w:tc>
          <w:tcPr>
            <w:tcW w:type="dxa" w:w="96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★★★强烈推荐</w:t>
            </w:r>
          </w:p>
        </w:tc>
        <w:tc>
          <w:tcPr>
            <w:tcW w:type="dxa" w:w="136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纪要挂户逻辑·上调</w:t>
            </w:r>
          </w:p>
        </w:tc>
        <w:tc>
          <w:tcPr>
            <w:tcW w:type="dxa" w:w="680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杨浦</w:t>
            </w:r>
          </w:p>
        </w:tc>
        <w:tc>
          <w:tcPr>
            <w:tcW w:type="dxa" w:w="124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鞍山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打一小学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鞍山初级（一般）</w:t>
            </w:r>
          </w:p>
        </w:tc>
        <w:tc>
          <w:tcPr>
            <w:tcW w:type="dxa" w:w="107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250–450万</w:t>
            </w:r>
          </w:p>
        </w:tc>
        <w:tc>
          <w:tcPr>
            <w:tcW w:type="dxa" w:w="6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2.79</w:t>
            </w:r>
          </w:p>
        </w:tc>
      </w:tr>
      <w:tr>
        <w:tc>
          <w:tcPr>
            <w:tcW w:type="dxa" w:w="510"/>
            <w:shd w:val="clear" w:fill="F2F5F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16</w:t>
            </w:r>
          </w:p>
        </w:tc>
        <w:tc>
          <w:tcPr>
            <w:tcW w:type="dxa" w:w="964"/>
            <w:shd w:val="clear" w:fill="F2F5F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★★可考虑</w:t>
            </w:r>
          </w:p>
        </w:tc>
        <w:tc>
          <w:tcPr>
            <w:tcW w:type="dxa" w:w="1361"/>
            <w:shd w:val="clear" w:fill="F2F5F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纪要入选·次优</w:t>
            </w:r>
          </w:p>
        </w:tc>
        <w:tc>
          <w:tcPr>
            <w:tcW w:type="dxa" w:w="680"/>
            <w:shd w:val="clear" w:fill="F2F5F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杨浦</w:t>
            </w:r>
          </w:p>
        </w:tc>
        <w:tc>
          <w:tcPr>
            <w:tcW w:type="dxa" w:w="1247"/>
            <w:shd w:val="clear" w:fill="F2F5F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黄兴公园</w:t>
            </w:r>
          </w:p>
        </w:tc>
        <w:tc>
          <w:tcPr>
            <w:tcW w:type="dxa" w:w="1814"/>
            <w:shd w:val="clear" w:fill="F2F5F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延吉中路小学</w:t>
            </w:r>
          </w:p>
        </w:tc>
        <w:tc>
          <w:tcPr>
            <w:tcW w:type="dxa" w:w="1814"/>
            <w:shd w:val="clear" w:fill="F2F5F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延吉中学</w:t>
            </w:r>
          </w:p>
        </w:tc>
        <w:tc>
          <w:tcPr>
            <w:tcW w:type="dxa" w:w="1077"/>
            <w:shd w:val="clear" w:fill="F2F5F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200–350万</w:t>
            </w:r>
          </w:p>
        </w:tc>
        <w:tc>
          <w:tcPr>
            <w:tcW w:type="dxa" w:w="624"/>
            <w:shd w:val="clear" w:fill="F2F5F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3.48</w:t>
            </w:r>
          </w:p>
        </w:tc>
      </w:tr>
      <w:tr>
        <w:tc>
          <w:tcPr>
            <w:tcW w:type="dxa" w:w="510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17</w:t>
            </w:r>
          </w:p>
        </w:tc>
        <w:tc>
          <w:tcPr>
            <w:tcW w:type="dxa" w:w="96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★★可考虑</w:t>
            </w:r>
          </w:p>
        </w:tc>
        <w:tc>
          <w:tcPr>
            <w:tcW w:type="dxa" w:w="136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纪要入选·次优</w:t>
            </w:r>
          </w:p>
        </w:tc>
        <w:tc>
          <w:tcPr>
            <w:tcW w:type="dxa" w:w="680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虹口</w:t>
            </w:r>
          </w:p>
        </w:tc>
        <w:tc>
          <w:tcPr>
            <w:tcW w:type="dxa" w:w="124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四川北路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四川北路第一小学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新华初</w:t>
            </w:r>
          </w:p>
        </w:tc>
        <w:tc>
          <w:tcPr>
            <w:tcW w:type="dxa" w:w="107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250–450万</w:t>
            </w:r>
          </w:p>
        </w:tc>
        <w:tc>
          <w:tcPr>
            <w:tcW w:type="dxa" w:w="6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3.47</w:t>
            </w:r>
          </w:p>
        </w:tc>
      </w:tr>
      <w:tr>
        <w:tc>
          <w:tcPr>
            <w:tcW w:type="dxa" w:w="510"/>
            <w:shd w:val="clear" w:fill="F2F5F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18</w:t>
            </w:r>
          </w:p>
        </w:tc>
        <w:tc>
          <w:tcPr>
            <w:tcW w:type="dxa" w:w="964"/>
            <w:shd w:val="clear" w:fill="F2F5F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★★可考虑</w:t>
            </w:r>
          </w:p>
        </w:tc>
        <w:tc>
          <w:tcPr>
            <w:tcW w:type="dxa" w:w="1361"/>
            <w:shd w:val="clear" w:fill="F2F5F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纪要入选·次优</w:t>
            </w:r>
          </w:p>
        </w:tc>
        <w:tc>
          <w:tcPr>
            <w:tcW w:type="dxa" w:w="680"/>
            <w:shd w:val="clear" w:fill="F2F5F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浦东</w:t>
            </w:r>
          </w:p>
        </w:tc>
        <w:tc>
          <w:tcPr>
            <w:tcW w:type="dxa" w:w="1247"/>
            <w:shd w:val="clear" w:fill="F2F5F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塘桥</w:t>
            </w:r>
          </w:p>
        </w:tc>
        <w:tc>
          <w:tcPr>
            <w:tcW w:type="dxa" w:w="1814"/>
            <w:shd w:val="clear" w:fill="F2F5F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塘桥周边公办</w:t>
            </w:r>
          </w:p>
        </w:tc>
        <w:tc>
          <w:tcPr>
            <w:tcW w:type="dxa" w:w="1814"/>
            <w:shd w:val="clear" w:fill="F2F5F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洋泾/建平等路径分化</w:t>
            </w:r>
          </w:p>
        </w:tc>
        <w:tc>
          <w:tcPr>
            <w:tcW w:type="dxa" w:w="1077"/>
            <w:shd w:val="clear" w:fill="F2F5F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250-450万</w:t>
            </w:r>
          </w:p>
        </w:tc>
        <w:tc>
          <w:tcPr>
            <w:tcW w:type="dxa" w:w="624"/>
            <w:shd w:val="clear" w:fill="F2F5F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—</w:t>
            </w:r>
          </w:p>
        </w:tc>
      </w:tr>
    </w:tbl>
    <w:p>
      <w:pPr>
        <w:spacing w:after="40"/>
      </w:pPr>
    </w:p>
    <w:p>
      <w:pPr>
        <w:spacing w:before="360" w:after="200"/>
      </w:pPr>
      <w:r>
        <w:rPr>
          <w:rFonts w:ascii="Times New Roman" w:hAnsi="Times New Roman" w:eastAsia="黑体"/>
          <w:b/>
          <w:i w:val="0"/>
          <w:color w:val="0F2A43"/>
          <w:sz w:val="32"/>
        </w:rPr>
        <w:t>附录 B　购房决策核验清单</w:t>
      </w:r>
    </w:p>
    <w:p>
      <w:pPr>
        <w:spacing w:before="160" w:after="80"/>
        <w:jc w:val="center"/>
      </w:pPr>
      <w:r>
        <w:rPr>
          <w:rFonts w:ascii="Times New Roman" w:hAnsi="Times New Roman" w:eastAsia="黑体"/>
          <w:b/>
          <w:i w:val="0"/>
          <w:color w:val="0F2A43"/>
          <w:sz w:val="21"/>
        </w:rPr>
        <w:t>表 B-1　签约前逐项核验清单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1814"/>
            <w:shd w:val="clear" w:fill="0F2A4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FFFFFF"/>
                <w:sz w:val="21"/>
              </w:rPr>
              <w:t>检查项</w:t>
            </w:r>
          </w:p>
        </w:tc>
        <w:tc>
          <w:tcPr>
            <w:tcW w:type="dxa" w:w="7143"/>
            <w:shd w:val="clear" w:fill="0F2A4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FFFFFF"/>
                <w:sz w:val="21"/>
              </w:rPr>
              <w:t>操作要点</w:t>
            </w:r>
          </w:p>
        </w:tc>
      </w:tr>
      <w:tr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幼升小资格</w:t>
            </w:r>
          </w:p>
        </w:tc>
        <w:tc>
          <w:tcPr>
            <w:tcW w:type="dxa" w:w="7143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优先保证人户一致且满足目标校入户/房产年限；按 2027 年登记截止日倒排购房与落户</w:t>
            </w:r>
          </w:p>
        </w:tc>
      </w:tr>
      <w:tr>
        <w:tc>
          <w:tcPr>
            <w:tcW w:type="dxa" w:w="1814"/>
            <w:shd w:val="clear" w:fill="F2F5F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五年一户</w:t>
            </w:r>
          </w:p>
        </w:tc>
        <w:tc>
          <w:tcPr>
            <w:tcW w:type="dxa" w:w="7143"/>
            <w:shd w:val="clear" w:fill="F2F5F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同一套房五年内可能仅享一次对口入学机会；二孩家庭或拟出售/挂靠者务必查清</w:t>
            </w:r>
          </w:p>
        </w:tc>
      </w:tr>
      <w:tr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小升初路径</w:t>
            </w:r>
          </w:p>
        </w:tc>
        <w:tc>
          <w:tcPr>
            <w:tcW w:type="dxa" w:w="7143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学籍对口区：小学几乎决定初中；户籍对口区：更适合小学后再搬家换初中</w:t>
            </w:r>
          </w:p>
        </w:tc>
      </w:tr>
      <w:tr>
        <w:tc>
          <w:tcPr>
            <w:tcW w:type="dxa" w:w="1814"/>
            <w:shd w:val="clear" w:fill="F2F5F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九年一贯</w:t>
            </w:r>
          </w:p>
        </w:tc>
        <w:tc>
          <w:tcPr>
            <w:tcW w:type="dxa" w:w="7143"/>
            <w:shd w:val="clear" w:fill="F2F5F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常要求户籍房产一致且提前约 3 年；时间不够不要硬冲（本案例已排除）</w:t>
            </w:r>
          </w:p>
        </w:tc>
      </w:tr>
      <w:tr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中  考</w:t>
            </w:r>
          </w:p>
        </w:tc>
        <w:tc>
          <w:tcPr>
            <w:tcW w:type="dxa" w:w="7143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不靠学区房锁定高中；关注报名区名额分配结构与竞争生态</w:t>
            </w:r>
          </w:p>
        </w:tc>
      </w:tr>
      <w:tr>
        <w:tc>
          <w:tcPr>
            <w:tcW w:type="dxa" w:w="1814"/>
            <w:shd w:val="clear" w:fill="F2F5F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随迁/积分</w:t>
            </w:r>
          </w:p>
        </w:tc>
        <w:tc>
          <w:tcPr>
            <w:tcW w:type="dxa" w:w="7143"/>
            <w:shd w:val="clear" w:fill="F2F5F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非沪籍路径与沪籍完全不同；积分、居住证、社保断缴风险单独评估</w:t>
            </w:r>
          </w:p>
        </w:tc>
      </w:tr>
      <w:tr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材料清单</w:t>
            </w:r>
          </w:p>
        </w:tc>
        <w:tc>
          <w:tcPr>
            <w:tcW w:type="dxa" w:w="7143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户口簿、房产证/租赁备案、入学信息登记表、人户分离凭证（如有）、居住证及社保材料</w:t>
            </w:r>
          </w:p>
        </w:tc>
      </w:tr>
      <w:tr>
        <w:tc>
          <w:tcPr>
            <w:tcW w:type="dxa" w:w="1814"/>
            <w:shd w:val="clear" w:fill="F2F5F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权威查询</w:t>
            </w:r>
          </w:p>
        </w:tc>
        <w:tc>
          <w:tcPr>
            <w:tcW w:type="dxa" w:w="7143"/>
            <w:shd w:val="clear" w:fill="F2F5F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市教委官网、各区教育局当年实施方案、shrxbm.edu.sh.gov.cn、上海教育考试院</w:t>
            </w:r>
          </w:p>
        </w:tc>
      </w:tr>
    </w:tbl>
    <w:p>
      <w:pPr>
        <w:spacing w:after="40"/>
      </w:pPr>
    </w:p>
    <w:p>
      <w:pPr>
        <w:spacing w:before="360" w:after="200"/>
      </w:pPr>
      <w:r>
        <w:rPr>
          <w:rFonts w:ascii="Times New Roman" w:hAnsi="Times New Roman" w:eastAsia="黑体"/>
          <w:b/>
          <w:i w:val="0"/>
          <w:color w:val="0F2A43"/>
          <w:sz w:val="32"/>
        </w:rPr>
        <w:t>附录 C　数据来源、方法与免责声明</w:t>
      </w:r>
    </w:p>
    <w:p>
      <w:pPr>
        <w:spacing w:after="80" w:line="336" w:lineRule="auto"/>
        <w:ind w:left="420" w:firstLine="0"/>
      </w:pPr>
      <w:r>
        <w:rPr>
          <w:rFonts w:ascii="Times New Roman" w:hAnsi="Times New Roman" w:eastAsia="宋体"/>
          <w:b w:val="0"/>
          <w:i w:val="0"/>
          <w:color w:val="9A7B12"/>
          <w:sz w:val="21"/>
        </w:rPr>
        <w:t xml:space="preserve">● </w:t>
      </w:r>
      <w:r>
        <w:rPr>
          <w:rFonts w:ascii="Times New Roman" w:hAnsi="Times New Roman" w:eastAsia="宋体"/>
          <w:b/>
          <w:i w:val="0"/>
          <w:sz w:val="24"/>
        </w:rPr>
        <w:t>策略来源：</w:t>
      </w:r>
      <w:r>
        <w:rPr>
          <w:rFonts w:ascii="Times New Roman" w:hAnsi="Times New Roman" w:eastAsia="宋体"/>
          <w:b w:val="0"/>
          <w:i w:val="0"/>
          <w:sz w:val="24"/>
        </w:rPr>
        <w:t>咨询纪要：《差异化选房》录音纪要（2026 年，内部整理）；</w:t>
      </w:r>
    </w:p>
    <w:p>
      <w:pPr>
        <w:spacing w:after="80" w:line="336" w:lineRule="auto"/>
        <w:ind w:left="420" w:firstLine="0"/>
      </w:pPr>
      <w:r>
        <w:rPr>
          <w:rFonts w:ascii="Times New Roman" w:hAnsi="Times New Roman" w:eastAsia="宋体"/>
          <w:b w:val="0"/>
          <w:i w:val="0"/>
          <w:color w:val="9A7B12"/>
          <w:sz w:val="21"/>
        </w:rPr>
        <w:t xml:space="preserve">● </w:t>
      </w:r>
      <w:r>
        <w:rPr>
          <w:rFonts w:ascii="Times New Roman" w:hAnsi="Times New Roman" w:eastAsia="宋体"/>
          <w:b/>
          <w:i w:val="0"/>
          <w:sz w:val="24"/>
        </w:rPr>
        <w:t>数据来源：</w:t>
      </w:r>
      <w:r>
        <w:rPr>
          <w:rFonts w:ascii="Times New Roman" w:hAnsi="Times New Roman" w:eastAsia="宋体"/>
          <w:b w:val="0"/>
          <w:i w:val="0"/>
          <w:sz w:val="24"/>
        </w:rPr>
        <w:t>《终表-上海板块学区融合总表-0805.xlsx》：106 板块融合总表、升学政策总览、幼升小/小升初/中考政策、入选看房清单、十六区策略总览、评分图例与融合规则、双源校准说明；</w:t>
      </w:r>
    </w:p>
    <w:p>
      <w:pPr>
        <w:spacing w:after="80" w:line="336" w:lineRule="auto"/>
        <w:ind w:left="420" w:firstLine="0"/>
      </w:pPr>
      <w:r>
        <w:rPr>
          <w:rFonts w:ascii="Times New Roman" w:hAnsi="Times New Roman" w:eastAsia="宋体"/>
          <w:b w:val="0"/>
          <w:i w:val="0"/>
          <w:color w:val="9A7B12"/>
          <w:sz w:val="21"/>
        </w:rPr>
        <w:t xml:space="preserve">● </w:t>
      </w:r>
      <w:r>
        <w:rPr>
          <w:rFonts w:ascii="Times New Roman" w:hAnsi="Times New Roman" w:eastAsia="宋体"/>
          <w:b/>
          <w:i w:val="0"/>
          <w:sz w:val="24"/>
        </w:rPr>
        <w:t>配套工具：</w:t>
      </w:r>
      <w:r>
        <w:rPr>
          <w:rFonts w:ascii="Times New Roman" w:hAnsi="Times New Roman" w:eastAsia="宋体"/>
          <w:b w:val="0"/>
          <w:i w:val="0"/>
          <w:sz w:val="24"/>
        </w:rPr>
        <w:t>《上海板块学区融合分析看板-0805.html》：与本报告配套的交互式筛选与可视化工具；</w:t>
      </w:r>
    </w:p>
    <w:p>
      <w:pPr>
        <w:spacing w:after="80" w:line="336" w:lineRule="auto"/>
        <w:ind w:left="420" w:firstLine="0"/>
      </w:pPr>
      <w:r>
        <w:rPr>
          <w:rFonts w:ascii="Times New Roman" w:hAnsi="Times New Roman" w:eastAsia="宋体"/>
          <w:b w:val="0"/>
          <w:i w:val="0"/>
          <w:color w:val="9A7B12"/>
          <w:sz w:val="21"/>
        </w:rPr>
        <w:t xml:space="preserve">● </w:t>
      </w:r>
      <w:r>
        <w:rPr>
          <w:rFonts w:ascii="Times New Roman" w:hAnsi="Times New Roman" w:eastAsia="宋体"/>
          <w:b/>
          <w:i w:val="0"/>
          <w:sz w:val="24"/>
        </w:rPr>
        <w:t>政策依据：</w:t>
      </w:r>
      <w:r>
        <w:rPr>
          <w:rFonts w:ascii="Times New Roman" w:hAnsi="Times New Roman" w:eastAsia="宋体"/>
          <w:b w:val="0"/>
          <w:i w:val="0"/>
          <w:sz w:val="24"/>
        </w:rPr>
        <w:t>上海市教委义务教育招生实施意见及政策问答、高中阶段学校招生工作若干意见、上海教育考试院中招规则公开信息。</w:t>
      </w:r>
    </w:p>
    <w:p>
      <w:pPr>
        <w:spacing w:after="120" w:line="360" w:lineRule="auto"/>
        <w:jc w:val="both"/>
      </w:pPr>
      <w:r>
        <w:rPr>
          <w:rFonts w:ascii="Times New Roman" w:hAnsi="Times New Roman" w:eastAsia="楷体"/>
          <w:b w:val="0"/>
          <w:i w:val="0"/>
          <w:color w:val="5B6A7A"/>
          <w:sz w:val="21"/>
        </w:rPr>
        <w:t>免责声明：本报告为学术团队基于委托咨询材料与双源数据完成的研究性分析，供决策参考，不构成任何购房、投资或升学承诺；所有对口学校、入户年限、五年一户等信息均须以市教委及各区教育局当年正式文件为准。报告中的市场周期判断为情景假设，不代表对未来价格的预测。</w:t>
      </w:r>
    </w:p>
    <w:sectPr w:rsidR="00FC693F" w:rsidRPr="0006063C" w:rsidSect="00034616">
      <w:footerReference w:type="default" r:id="rId9"/>
      <w:pgSz w:w="11906" w:h="16838"/>
      <w:pgMar w:top="1440" w:right="1474" w:bottom="1440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i w:val="0"/>
        <w:color w:val="5B6A7A"/>
        <w:sz w:val="18"/>
      </w:rPr>
      <w:t xml:space="preserve">复旦大学住房政策研究中心团队 · 内部研究资料    第 </w:t>
    </w:r>
    <w:fldSimple w:instr="PAGE"/>
    <w:r>
      <w:rPr>
        <w:rFonts w:ascii="Times New Roman" w:hAnsi="Times New Roman" w:eastAsia="宋体"/>
        <w:b w:val="0"/>
        <w:i w:val="0"/>
        <w:color w:val="5B6A7A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