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黑体" w:hAnsi="黑体" w:eastAsia="黑体"/>
          <w:b/>
          <w:sz w:val="44"/>
        </w:rPr>
        <w:t>联合策划服务合作协议</w:t>
      </w:r>
    </w:p>
    <w:p>
      <w:pPr>
        <w:spacing w:after="280" w:before="0" w:line="360" w:lineRule="auto"/>
        <w:jc w:val="center"/>
      </w:pPr>
      <w:r>
        <w:rPr>
          <w:rFonts w:ascii="黑体" w:hAnsi="黑体" w:eastAsia="黑体"/>
          <w:b/>
          <w:color w:val="003D2E"/>
          <w:sz w:val="24"/>
        </w:rPr>
        <w:t>（供审阅）</w:t>
      </w:r>
    </w:p>
    <w:p>
      <w:pPr>
        <w:spacing w:after="40" w:line="360" w:lineRule="auto"/>
        <w:ind w:firstLine="0"/>
        <w:jc w:val="both"/>
      </w:pPr>
      <w:r>
        <w:rPr>
          <w:rFonts w:ascii="宋体" w:hAnsi="宋体" w:eastAsia="宋体"/>
          <w:b/>
          <w:sz w:val="24"/>
        </w:rPr>
        <w:t>甲方：</w:t>
      </w:r>
      <w:r>
        <w:rPr>
          <w:rFonts w:ascii="宋体" w:hAnsi="宋体" w:eastAsia="宋体"/>
          <w:b w:val="0"/>
          <w:sz w:val="24"/>
        </w:rPr>
        <w:t>复旦大学住房政策研究中心、上海市杨浦区科技企业联合会</w:t>
      </w:r>
    </w:p>
    <w:p>
      <w:pPr>
        <w:spacing w:after="40" w:line="360" w:lineRule="auto"/>
        <w:ind w:firstLine="0"/>
        <w:jc w:val="both"/>
      </w:pPr>
      <w:r>
        <w:rPr>
          <w:rFonts w:ascii="宋体" w:hAnsi="宋体" w:eastAsia="宋体"/>
          <w:b/>
          <w:sz w:val="24"/>
        </w:rPr>
        <w:t>甲方指定结算主体：</w:t>
      </w:r>
      <w:r>
        <w:rPr>
          <w:rFonts w:ascii="宋体" w:hAnsi="宋体" w:eastAsia="宋体"/>
          <w:b w:val="0"/>
          <w:sz w:val="24"/>
        </w:rPr>
        <w:t>【签署时填写】</w:t>
      </w:r>
    </w:p>
    <w:p>
      <w:pPr>
        <w:spacing w:after="40" w:line="360" w:lineRule="auto"/>
        <w:ind w:firstLine="0"/>
        <w:jc w:val="both"/>
      </w:pPr>
      <w:r>
        <w:rPr>
          <w:rFonts w:ascii="宋体" w:hAnsi="宋体" w:eastAsia="宋体"/>
          <w:b/>
          <w:sz w:val="24"/>
        </w:rPr>
        <w:t>乙方：</w:t>
      </w:r>
      <w:r>
        <w:rPr>
          <w:rFonts w:ascii="宋体" w:hAnsi="宋体" w:eastAsia="宋体"/>
          <w:b w:val="0"/>
          <w:sz w:val="24"/>
        </w:rPr>
        <w:t>香港大学经管学院（执行机构：香港大学经管学院上海中心）</w:t>
      </w:r>
    </w:p>
    <w:p>
      <w:pPr>
        <w:spacing w:after="40" w:line="360" w:lineRule="auto"/>
        <w:ind w:firstLine="0"/>
        <w:jc w:val="both"/>
      </w:pPr>
      <w:r>
        <w:rPr>
          <w:rFonts w:ascii="宋体" w:hAnsi="宋体" w:eastAsia="宋体"/>
          <w:b/>
          <w:sz w:val="24"/>
        </w:rPr>
        <w:t>乙方联系人：</w:t>
      </w:r>
      <w:r>
        <w:rPr>
          <w:rFonts w:ascii="宋体" w:hAnsi="宋体" w:eastAsia="宋体"/>
          <w:b w:val="0"/>
          <w:sz w:val="24"/>
        </w:rPr>
        <w:t>潘嘉琰　　电话：(86) 180 1860 6086　　邮箱：jyanpan@hku.hk</w:t>
      </w:r>
    </w:p>
    <w:p>
      <w:pPr>
        <w:spacing w:after="24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乙方地址：上海市人民路336号外滩SOHO F栋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甲乙双方拟在上海就企业出海主题活动、以及高端教育招生宣传进行合作。为明确各自工作、费用和交付事项，订立本协议。本协议签署前供乙方审阅，签署后生效。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第一条　合作事项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1.1 双方合作举办一场以企业出海为主题的专题课，地点在乙方上海中心（外滩SOHO F栋），人数三十至四十人。来宾主要为正在考虑出海或赴港上市的企业负责人。乙方安排场地和老师，甲方负责邀请和现场。课后由乙方招生人员与来宾单独沟通。录取、面试、学位由乙方按学院规定办理，甲方不得代为承诺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1.2 甲方另安排一场出海主题活动，请乙方联系人转达，邀请乙方上海中心主任出席。主任是否出席，以乙方安排为准。甲方发出书面邀请，活动如期举办，即完成本项工作。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1.3 港大本部出海课程的推广、原创谷、学生在沪实习参访等事项，双方可另行商议，不列入本协议交付，也不另收费。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1.4 本协议不是招生代理，不按学费或录取人数分成，也不是联合办学。任何一方不得称对方为自己的下属机构，也不得对外宣称双方合办学位。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第二条　各自工作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2.1 乙方负责：提供上海中心场地和名义；安排老师或校友；招生跟进；协助邀请中心主任；决定录取和学位。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2.2 甲方负责：九十天内的筹备；拟邀请名单；外滩专题课现场；请主任出席的那一场活动；课后七日内提交纪要和名单；开具发票、收取费用。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2.3 乙方指定潘嘉琰为日常联系人。甲方指定项目负责人一名，于本协议生效后三个工作日内书面告知乙方。超出招生宣传范围、需中心主任决定的事项，由联系人转达，联系人无义务代为答应。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第三条　费用与支付</w:t>
      </w:r>
    </w:p>
    <w:p>
      <w:pPr>
        <w:spacing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3.1 乙方向甲方指定结算主体支付前期工作费用</w:t>
      </w:r>
      <w:r>
        <w:rPr>
          <w:rFonts w:ascii="宋体" w:hAnsi="宋体" w:eastAsia="宋体"/>
          <w:b/>
          <w:sz w:val="24"/>
        </w:rPr>
        <w:t>人民币捌万捌仟元整（¥88,000）</w:t>
      </w:r>
      <w:r>
        <w:rPr>
          <w:rFonts w:ascii="宋体" w:hAnsi="宋体" w:eastAsia="宋体"/>
          <w:b w:val="0"/>
          <w:sz w:val="24"/>
        </w:rPr>
        <w:t>。该费用为包干，覆盖第一条、第二条所列工作。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3.2 本协议生效后十个工作日内一次付清。甲方收到款项后五个工作日内开具增值税发票。票种和税率以结算主体资质为准，签署前书面确认。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3.3 逾期未付的，甲方可以暂停筹备，日期顺延。逾期超过十五个工作日仍未付清的，甲方可以书面解除本协议，乙方按已发生费用结算，且不少于费用总额的百分之三十。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3.4 费用到账前，甲方没有义务提交完整名单或对外发出正式邀请。双方可以先商定日期。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3.5 本协议范围以外的工作，须另行书面确认。第二场及以后，建议每场人民币陆万捌仟元整，另签确认单后才生效。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3.6 收款账户于签署时填写：开户名称________；开户银行________；账号________；纳税人识别号________。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第四条　交付与确认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4.1 甲方提交拟邀请名单初稿，人数不少于八十人。乙方在五个工作日内提出书面意见，逾期视为没有意见。名单供工作使用，不保证每一个人都到场。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4.2 专题课完成后七日内，甲方提交纪要和来宾情况说明。因不可抗力、乙方改期或乙方未按时确定老师，影响人数的，不视为甲方违约。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4.3 请主任出席一项，以甲方书面邀请为凭。主任未出席，不视为甲方违约。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4.4 录取人数、学费收入不作为确认条件。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第五条　名单与名义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5.1 因本协议形成的来宾名单由双方共同使用，不得提供给无关第三方，也不得用于与本次合作无关的推销。本协议结束后十二个月内，仅可用于本次已开始的招生跟进。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5.2 使用对方名称、校徽、场地照片，须事先书面同意，并符合对方规定。港大课程内容和招生办法，以乙方公布的文本为准。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第六条　期限、变更与解除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6.1 本协议自双方签署且第三条费用到账之日起生效，有效期九十日。期满结束，续做须另签。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6.2 日期、题目、老师等安排，可用邮件或盖章确认单变更，不改变第三条费用。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6.3 一方严重违约，书面催告十个工作日仍不改正的，另一方可解除。因乙方原因取消专题课且不同意改期的，费用不退。因甲方原因未能举办专题课、且九十日内无法改期的，甲方应在十五个工作日内退还费用的百分之五十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6.4 因不可抗力不能履行的，双方协商改期；仍不能履行的，按已发生费用结算后解除。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color w:val="003D2E"/>
          <w:sz w:val="28"/>
        </w:rPr>
        <w:t>第七条　其他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7.1 双方对未公开的信息和名单保密，至本协议结束后两年。法律法规要求披露的除外。活动内容应遵守教育、广告、外事和港澳有关规定。甲方不代理签证，不承诺录取。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7.2 因本协议发生争议，先协商；协商不成的，由甲方指定结算主体所在地有管辖权的人民法院处理。结算主体尚未确定的，由上海市黄浦区人民法院管辖。适用中华人民共和国法律。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7.3 本协议一式四份，双方各执两份。电子印章或扫描件与原件相同。未尽事宜可签补充协议。随附的汇报材料仅供说明，与本协议不一致的，以本协议为准。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7.4 乙方签署主体以香港大学经管学院认可的有权机构为准。甲方签署时须写明结算主体全称、统一社会信用代码和开票信息。</w:t>
      </w:r>
    </w:p>
    <w:p>
      <w:pPr>
        <w:spacing w:after="320" w:before="320" w:line="360" w:lineRule="auto"/>
        <w:jc w:val="center"/>
      </w:pPr>
      <w:r>
        <w:rPr>
          <w:rFonts w:ascii="宋体" w:hAnsi="宋体" w:eastAsia="宋体"/>
          <w:b w:val="0"/>
          <w:sz w:val="24"/>
        </w:rPr>
        <w:t>（以下无正文，为签署页）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03D2E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甲方</w:t>
            </w:r>
          </w:p>
        </w:tc>
        <w:tc>
          <w:tcPr>
            <w:tcW w:type="dxa" w:w="4533"/>
            <w:shd w:val="clear" w:color="auto" w:fill="003D2E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乙方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复旦大学住房政策研究中心、上海市杨浦区科技企业联合会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香港大学经管学院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指定结算主体：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执行机构：香港大学经管学院上海中心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统一社会信用代码：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有权签署机构：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授权代表（签字）：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授权代表（签字）：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职务：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职务：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　　年　　月　　日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　　年　　月　　日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联系人：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联系人：潘嘉琰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电话：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电话：(86) 180 1860 6086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开户行：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邮箱：jyanpan@hku.hk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账号：</w:t>
            </w:r>
          </w:p>
        </w:tc>
        <w:tc>
          <w:tcPr>
            <w:tcW w:type="dxa" w:w="4533"/>
          </w:tcPr>
          <w:p>
            <w:pPr>
              <w:spacing w:after="40" w:before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盖章：</w:t>
            </w:r>
          </w:p>
        </w:tc>
      </w:tr>
    </w:tbl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