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招 商 合 作 协 议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商务确认稿 v1.1 · 冠松 01# 研发楼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先 90 天包干 · 佣金跟中介同一把尺 · 法务正本见 05 号</w:t>
      </w:r>
    </w:p>
    <w:p>
      <w:r>
        <w:rPr>
          <w:rFonts w:ascii="Calibri" w:hAnsi="Calibri" w:eastAsia="WenQuanYi Micro Hei"/>
          <w:b w:val="0"/>
          <w:sz w:val="22"/>
        </w:rPr>
      </w:r>
    </w:p>
    <w:p>
      <w:r>
        <w:rPr>
          <w:rFonts w:ascii="Calibri" w:hAnsi="Calibri" w:eastAsia="WenQuanYi Micro Hei"/>
          <w:b/>
          <w:sz w:val="22"/>
        </w:rPr>
        <w:t>本文件确认：合作什么、90 天干什么、怎么收费、怎么停。不是顾问咨询。乙方替甲方招商。完成标准是生效租赁合同（双方盖章，且保证金或首期租金到账）。</w:t>
      </w:r>
    </w:p>
    <w:p>
      <w:r>
        <w:rPr>
          <w:rFonts w:ascii="Calibri" w:hAnsi="Calibri" w:eastAsia="WenQuanYi Micro Hei"/>
          <w:b/>
          <w:color w:val="0F2D52"/>
          <w:sz w:val="28"/>
        </w:rPr>
        <w:t>一、双方与标的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甲方（业主）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上海冠松 [项目运营公司全称] 有限公司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乙方（操盘方）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[招商操盘方全称]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标的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静安永和社区 075b-07 · 01# 研发楼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规模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地上 15,152.75 ㎡ · C6 教育科研设计用地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考核面积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可出租净面积约 8,300 ㎡（1F+2F 大堂展厅甲方自留）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二、招什么（边界）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允许：人工智能、集成电路、生物医药研发、汽车配套研发（非整车）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禁止：整车 4S、整车展厅、汽车卖场、纯零售、教培、仓储、生产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公寓 / 人才短租：须先做 C6 合规评估，未经书面同意不得对外承诺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租赁合同由甲方盖章。乙方不得代签、代收款，不得收回扣，不得口头承诺政府政策。</w:t>
      </w:r>
    </w:p>
    <w:p>
      <w:r>
        <w:rPr>
          <w:rFonts w:ascii="Calibri" w:hAnsi="Calibri" w:eastAsia="WenQuanYi Micro Hei"/>
          <w:b/>
          <w:color w:val="0F2D52"/>
          <w:sz w:val="28"/>
        </w:rPr>
        <w:t>三、未来 90 天干什么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试跑期按下面三张表做。出方案不算完成。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4649"/>
        <w:gridCol w:w="2948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时段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动作（吸收已有楼书、种子名单、报价授权）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必须交出来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D1–30 进场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填确认栏；一页楼书（C6/层高/停车/绿建）；看房动线；种子库；中介 2 家 + 首报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库 ≥ 150 家；第一份周报；绿区报价单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D31–60 见客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深接触；带看 + 48h 纪要；15 人闭门 1 场；投促办备案（不承诺政策）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深接触 ≥ 8；带看 ≥ 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D61–90 收口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意向写成书面；黄区 48h 请示；第 90 天董事长漏斗会；档案可移交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有效书面意向 ≥ 3 份</w:t>
            </w:r>
          </w:p>
        </w:tc>
      </w:tr>
    </w:tbl>
    <w:p>
      <w:r>
        <w:rPr>
          <w:rFonts w:ascii="Calibri" w:hAnsi="Calibri" w:eastAsia="WenQuanYi Micro Hei"/>
          <w:b w:val="0"/>
          <w:sz w:val="22"/>
        </w:rPr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冲刺项（有更好，没有也能复盘）：累计意向面积 ≥ 1,500 ㎡，或 1 份锚定 Term Sheet。达不到上表「必须」，建议不转正。</w:t>
      </w:r>
    </w:p>
    <w:p>
      <w:r>
        <w:rPr>
          <w:rFonts w:ascii="Calibri" w:hAnsi="Calibri" w:eastAsia="WenQuanYi Micro Hei"/>
          <w:b/>
          <w:color w:val="0F2D52"/>
          <w:sz w:val="28"/>
        </w:rPr>
        <w:t>四、收费（已对齐，避免顾问费叠满佣）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上一版启动 15 万 + 月度 8 万 + 首年租金 8%，叠在一起偏高。现改为：试跑只付包干；成交按上海商办习惯付「首月租金」；中介单业主只付一套佣金。未税，增值税另计。以第六条确认栏为准。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2154"/>
        <w:gridCol w:w="2381"/>
        <w:gridCol w:w="2948"/>
      </w:tblGrid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费用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建议数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什么时候付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90 天包干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8 万元一次性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签约后 10 个工作日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含人、材料、带看；试跑期不另收月度；可抵扣后续成功佣金，不退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成功佣金 · 自拓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首月不含税净租金 × 100%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合同生效且保证金或首期租金到账后 15 个工作日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与 02 号中介协议同一把尺；没签成不抽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成功佣金 · 锚定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首月不含税净租金 × 150%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同上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单户 ≥ 1,500 ㎡ 或整层，或书面确认的链主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中介成交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业主合计不超过上表该档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与中介居间协议同期结算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中介约 70% + 乙方约 30%；不再另付乙方半份满佣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转正后月度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4 万元 / 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第 91 天起，每月 5 日前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当月若产生成功佣金，月度从该笔佣金抵扣</w:t>
            </w:r>
          </w:p>
        </w:tc>
      </w:tr>
    </w:tbl>
    <w:p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甲方自有客户未经报备成交：不付成功佣金；试跑期也不退包干。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因招商质量问题起租 12 个月内退租：按未履行月数比例退还该笔佣金。甲方违约或房屋瑕疵导致的不退。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包干不含：中介居间费（已含在「一套佣金」里）、闭门会茶歇、样板间工程、政府文件税费。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对照：试跑 90 天若无成交，业主现金支出 8 万（旧口径约 39 万）。4,000 ㎡ 空一年按 6.5 元/㎡·天约少收 949 万。</w:t>
      </w:r>
    </w:p>
    <w:p>
      <w:r>
        <w:rPr>
          <w:rFonts w:ascii="Calibri" w:hAnsi="Calibri" w:eastAsia="WenQuanYi Micro Hei"/>
          <w:b/>
          <w:color w:val="0F2D52"/>
          <w:sz w:val="28"/>
        </w:rPr>
        <w:t>五、签法（会上勾一项，默认建议 B）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61"/>
        <w:gridCol w:w="3969"/>
        <w:gridCol w:w="3969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方案 B · 先 90 天（建议）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方案 A · 12 个月独家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适合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先看人干活再锁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已决心排他把楼租出去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试跑期收费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只付 8 万包干 + 成交才付佣金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8 万包干记作前 90 天费用，第 91 天起月度 4 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怎么停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第 90 天复盘，可转正 / 再试 / 停；已发生佣金照付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满 6 个月无锚定 TS 且意向不足 2,000 ㎡，可停月度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转正后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书面确认后进入 12 个月独家 + 月度 4 万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进场即独家</w:t>
            </w:r>
          </w:p>
        </w:tc>
      </w:tr>
    </w:tbl>
    <w:p>
      <w:r>
        <w:rPr>
          <w:rFonts w:ascii="Calibri" w:hAnsi="Calibri" w:eastAsia="WenQuanYi Micro Hei"/>
          <w:b w:val="0"/>
          <w:sz w:val="22"/>
        </w:rPr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绿区（可直接报）：租金 ≥ 6.5 元/㎡·天，免租 ≤ 9 个月，装补 ≤ 600 元/㎡。黄区 48 小时书面批复，逾期未批视为不同意。底线须董事长批。</w:t>
      </w:r>
    </w:p>
    <w:p>
      <w:r>
        <w:rPr>
          <w:rFonts w:ascii="Calibri" w:hAnsi="Calibri" w:eastAsia="WenQuanYi Micro Hei"/>
          <w:b/>
          <w:color w:val="0F2D52"/>
          <w:sz w:val="28"/>
        </w:rPr>
        <w:t>六、确认栏（当场填）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勾选签法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□ 方案 B（先 90 天，建议）    □ 方案 A（12 个月独家）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90 天包干（未税）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人民币 __________ 万元（建议 8）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转正后月度（未税）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人民币 __________ 万元/月（建议 4；当月佣金抵扣）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自拓成功佣金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首月不含税净租金 × ______ %（建议 100）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锚定成功佣金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首月不含税净租金 × ______ %（建议 150）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中介成交业主总额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□ 不超过该档，中介与乙方内部分成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进场日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______ 年 ______ 月 ______ 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甲方唯一对接人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姓名 / 手机 / 邮箱：____________________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红区最终决策人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董事长或授权人：____________________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乙方项目经理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姓名 / 手机 / 邮箱：____________________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绿区可否直接报价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□ 可以    □ 每单先报甲方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90 天必须项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□ 同意第三节表格，达不到可不转正</w:t>
            </w:r>
          </w:p>
        </w:tc>
      </w:tr>
    </w:tbl>
    <w:p>
      <w:r>
        <w:rPr>
          <w:rFonts w:ascii="Calibri" w:hAnsi="Calibri" w:eastAsia="WenQuanYi Micro Hei"/>
          <w:b w:val="0"/>
          <w:sz w:val="22"/>
        </w:rPr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确认栏盖章后，收费与签法以本栏为准。正式权利义务随后出《招商服务委托协议》全稿，全稿不得改变本栏已确认的收费结构。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甲方：上海冠松 [项目运营公司]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乙方：[招商操盘方全称]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