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  <w:jc w:val="center"/>
      </w:pPr>
      <w:r>
        <w:rPr>
          <w:rFonts w:ascii="黑体" w:hAnsi="黑体" w:eastAsia="黑体" w:cs="黑体"/>
          <w:b/>
          <w:color w:val="0B2F5B"/>
          <w:sz w:val="34"/>
        </w:rPr>
        <w:t>青岛抚顺路和哈尔滨路路口交通事故：完整解决方案</w:t>
      </w:r>
    </w:p>
    <w:p>
      <w:pPr>
        <w:spacing w:before="0" w:after="120" w:line="288" w:lineRule="auto"/>
        <w:jc w:val="center"/>
      </w:pPr>
      <w:r>
        <w:rPr>
          <w:rFonts w:ascii="黑体" w:hAnsi="黑体" w:eastAsia="黑体" w:cs="黑体"/>
          <w:b w:val="0"/>
          <w:color w:val="5C6B7A"/>
          <w:sz w:val="21"/>
        </w:rPr>
        <w:t>责任分担 · 理赔流程与时间线 · 费用与赔付估算 · 截至 2026-08-22</w:t>
      </w:r>
    </w:p>
    <w:p>
      <w:pPr>
        <w:spacing w:before="0" w:after="160" w:line="324" w:lineRule="auto"/>
        <w:jc w:val="left"/>
      </w:pPr>
      <w:r>
        <w:rPr>
          <w:rFonts w:ascii="宋体" w:hAnsi="宋体" w:eastAsia="宋体" w:cs="宋体"/>
          <w:b/>
          <w:color w:val="A63D2F"/>
          <w:sz w:val="23"/>
        </w:rPr>
        <w:t>家属内部测算件。所有金额是估算区间，以发票、医嘱、认定书、鉴定意见和保单条款为准。不是律师函。不要给骑手、刘孝春、站点或任何保险公司看。对外仍然不报总数、不报残级。</w:t>
      </w:r>
    </w:p>
    <w:p>
      <w:pPr>
        <w:spacing w:before="200" w:after="120" w:line="300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一、责任与赔付分担（含泰康路径）</w:t>
      </w:r>
    </w:p>
    <w:p>
      <w:pPr>
        <w:spacing w:before="0" w:after="100" w:line="324" w:lineRule="auto"/>
        <w:ind w:firstLine="397"/>
        <w:jc w:val="left"/>
      </w:pPr>
      <w:r>
        <w:rPr>
          <w:rFonts w:ascii="宋体" w:hAnsi="宋体" w:eastAsia="宋体" w:cs="宋体"/>
          <w:b w:val="0"/>
          <w:sz w:val="23"/>
        </w:rPr>
        <w:t>书面认定书尚未出具。交警看监控排除任何一方全责，剩两种可能：外卖主责、三轮次责（内部按 70%/30% 测算）；或双方同等（50%/50%）。下面两种都算，认定书出来套哪种用哪种。</w:t>
      </w:r>
    </w:p>
    <w:p>
      <w:pPr>
        <w:spacing w:before="0" w:after="100" w:line="324" w:lineRule="auto"/>
        <w:ind w:firstLine="397"/>
        <w:jc w:val="left"/>
      </w:pPr>
      <w:r>
        <w:rPr>
          <w:rFonts w:ascii="宋体" w:hAnsi="宋体" w:eastAsia="宋体" w:cs="宋体"/>
          <w:b w:val="0"/>
          <w:sz w:val="23"/>
        </w:rPr>
        <w:t>责任只在胡志远（三轮使用人）和美团骑手之间划分。刘孝春不上认定书，但作为车主（无牌、灯坏的车交人使用）和接活的老板，要在三轮这一方的内部缺口里分担一部分（内部按其过错系数 k 估 50%–70% 争取）。</w:t>
      </w:r>
    </w:p>
    <w:p>
      <w:pPr>
        <w:spacing w:before="0" w:after="100" w:line="324" w:lineRule="auto"/>
        <w:ind w:firstLine="397"/>
        <w:jc w:val="left"/>
      </w:pPr>
      <w:r>
        <w:rPr>
          <w:rFonts w:ascii="宋体" w:hAnsi="宋体" w:eastAsia="宋体" w:cs="宋体"/>
          <w:b w:val="0"/>
          <w:sz w:val="23"/>
        </w:rPr>
        <w:t>爸爸自己要担的那部分（缺口里刘不担的余数），不是白白认掉——去翻爸爸名下有没有泰康等个人保险：意外医疗险可以报销自负的医疗费（报销型，不能和美团险重复报同一张发票）；意外伤残给付按残级给钱，给付型，不看责任比例，可以和交通事故赔偿叠加；有住院津贴的按天另领。</w:t>
      </w:r>
    </w:p>
    <w:p>
      <w:pPr>
        <w:spacing w:before="0" w:after="100" w:line="324" w:lineRule="auto"/>
        <w:ind w:firstLine="397"/>
        <w:jc w:val="left"/>
      </w:pPr>
      <w:r>
        <w:rPr>
          <w:rFonts w:ascii="宋体" w:hAnsi="宋体" w:eastAsia="宋体" w:cs="宋体"/>
          <w:b w:val="0"/>
          <w:sz w:val="23"/>
        </w:rPr>
        <w:t>未结工钱约 5000 元在赔付体系之外，100% 由刘孝春支付，不乘任何比例。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谁出钱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出什么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口径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第 1 层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医保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住院医疗费先行结算部分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已用；理赔时扣除已报金额，不重复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第 2 层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美团平台险（骑手侧）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总损失 L × 骑手责任比例（70% 或 50%）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以保单限额为上限；保单号、限额待拉群确认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第 3 层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刘孝春（车主+雇主）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己方缺口 G × k（内部按 k=50%–70% 争取）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G = L × 己方比例（30% 或 50%）；协商不成随雇员受害之诉主张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第 4 层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泰康等爸爸个人险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爸爸自负部分 G × (1−k) 中的医疗费（报销型）；伤残给付按残级（给付型，全额不打折）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先找保单：险种、限额、免赔额、报案时限；意外医疗不能与美团险重复报同一发票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第 5 层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起诉执行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以上谈不拢的差额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起诉骑手（视情况追加平台）+ 刘孝春；执行盯保险，不指望骑手个人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单列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刘孝春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欠薪约 5000 元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100% 支付，不乘比例，不进 L</w:t>
            </w:r>
          </w:p>
        </w:tc>
      </w:tr>
    </w:tbl>
    <w:p>
      <w:pPr>
        <w:spacing w:before="200" w:after="120" w:line="300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二、理赔流程、顺序与时间节点</w:t>
      </w:r>
    </w:p>
    <w:p>
      <w:pPr>
        <w:spacing w:before="0" w:after="100" w:line="324" w:lineRule="auto"/>
        <w:ind w:firstLine="397"/>
        <w:jc w:val="left"/>
      </w:pPr>
      <w:r>
        <w:rPr>
          <w:rFonts w:ascii="宋体" w:hAnsi="宋体" w:eastAsia="宋体" w:cs="宋体"/>
          <w:b w:val="0"/>
          <w:sz w:val="23"/>
        </w:rPr>
        <w:t>理赔顺序固定为：医保 → 美团平台险（按认定书比例）→ 刘孝春分担己方缺口 → 泰康等个人险补自负医疗并另领伤残给付 → 差额起诉执行。欠薪单独找刘收。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节点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预计时间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做什么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完成标志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 固定证据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本周（8 月下旬）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 万收据五句话；欠薪 5000 另写；护工合同发票；骑手拉群；监控回执；泰康等个人保单找出来并报案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四张纸齐 + 群建立 + 泰康报案号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 书面认定书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1–2 周内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催陈师傅给预计出具日；拿到后先拍照发岳父，再决定签不签；岳父看监控定简易/一般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认定书原件在手，比例落定（70/30 或 50/50）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 第一轮理赔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认定书后 2–4 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美团平台险按比例赔已发生医疗费、护理费、交通费；材料按保险清单交；泰康意外医疗报自负部分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首笔理赔到账或书面拒赔理由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4 持续治疗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伤后 0–3 个月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人民医院换药、VSD 管理、外固定维护；发票、护理记录逐月归档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创面愈合、外固定稳定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5 二次住院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伤后约 6–12 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拆外固定架/取克氏针，住院约 5–7 天；若植皮另加 1–2 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二次手术出院记录、发票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6 治疗终结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伤后约 3–6 个月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临床稳定、医生认可终结；收齐完整手术记录、植入物清单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复查报告显示骨愈合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7 伤残鉴定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治疗终结后启动，约 1 个月出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司法鉴定机构、道路交通事故用途；右足骨刺不送评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鉴定意见书（有级或无级）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8 总账协商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鉴定后 1–2 个月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按票 + 残级 + 认定书比例列请求：美团险 → 刘孝春 → 泰康伤残给付；欠薪单独收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调解协议或明确谈不拢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9 起诉（如需）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协商不成后；一审约 6–12 个月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起诉骑手（视情况追加平台）+ 刘孝春；岳父审代理合同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判决/调解书 + 执行到账</w:t>
            </w:r>
          </w:p>
        </w:tc>
      </w:tr>
    </w:tbl>
    <w:p>
      <w:pPr>
        <w:spacing w:before="120" w:after="100" w:line="324" w:lineRule="auto"/>
        <w:jc w:val="left"/>
      </w:pPr>
      <w:r>
        <w:rPr>
          <w:rFonts w:ascii="宋体" w:hAnsi="宋体" w:eastAsia="宋体" w:cs="宋体"/>
          <w:b/>
          <w:sz w:val="23"/>
        </w:rPr>
        <w:t>总时长：顺利（协商成）约 6–9 个月；进入诉讼约 12–18 个月。</w:t>
      </w:r>
    </w:p>
    <w:p>
      <w:pPr>
        <w:spacing w:before="200" w:after="120" w:line="300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三、住院时间与是否二次住院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阶段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时间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时长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齐鲁医院（已发生）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2026-08-14 至 08-17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 天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急诊 + 手术（8-14 19:01 切开复位内外固定、清创、VSD）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市北区人民医院（进行中）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2026-08-17 起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估 2–4 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隔日换药、VSD、外固定维护；出院看创面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二次住院（拆外固定/取克氏针）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伤后约 6–12 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估 5–7 天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医嘱定；若皮肤坏死需植皮，另加 1–2 周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合计住院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估 30–50 天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护理费、伙食补助按此计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治疗终结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伤后约 3–6 个月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之后才能评残；总流程顺利 6–9 个月，诉讼则 12–18 个月</w:t>
            </w:r>
          </w:p>
        </w:tc>
      </w:tr>
    </w:tbl>
    <w:p>
      <w:pPr>
        <w:spacing w:before="120" w:after="100" w:line="324" w:lineRule="auto"/>
        <w:ind w:firstLine="397"/>
        <w:jc w:val="left"/>
      </w:pPr>
      <w:r>
        <w:rPr>
          <w:rFonts w:ascii="宋体" w:hAnsi="宋体" w:eastAsia="宋体" w:cs="宋体"/>
          <w:b w:val="0"/>
          <w:sz w:val="23"/>
        </w:rPr>
        <w:t>是否二次住院：是，基本确定要。外固定架和克氏针要拆（常见伤后 6–12 周），届时住院约 5–7 天；皮肤坏死若需植皮再加。都以主治医嘱为准。</w:t>
      </w:r>
    </w:p>
    <w:p>
      <w:pPr>
        <w:spacing w:before="200" w:after="120" w:line="300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四、各项费用估算（内部区间，以票为准）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低（元）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高（元）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计算口径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医疗费（已发生）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40,000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40,000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家属口径 4 万，发票逐笔核清中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与刘垫付 3 万现金分开记；扣医保已报部分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医疗费（后续二期）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15,000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30,000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拆外固定/取克氏针住院 + 换药 + 可能植皮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皮肤坏死若需植皮取高值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护理费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15,000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35,000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300 元/天 × 住院约 30–50 天 + 出院后医嘱 30–60 天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医院推荐一对一已请；必须合同+发票+护理记录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住院伙食补助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5,000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约 100 元/天 × 住院 30–50 天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按青岛国家机关出差伙食标准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营养费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5,000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有医嘱或鉴定支持的天数 × 30–50 元/天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没有医嘱不主张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误工费（伤者本人）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30,000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约 5000 元/月 × 休息期 4–6 个月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64 岁已退休，必须证明给刘干活的实际收入；证明不了为 0。胡继刚工资不算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交通费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8,000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救护车 160 元 + 家属必要往返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全部要票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住宿费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5,000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外地家属必要住宿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有票且必要才报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鉴定费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1,500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2,500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伤残鉴定一次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有的判决由败诉方担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残疾辅助器具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500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拐杖、轮椅等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有医嘱才报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常规费用小计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78,000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162,500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中值约 12.0 万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不含残疾赔偿金和精神抚慰金</w:t>
            </w:r>
          </w:p>
        </w:tc>
      </w:tr>
    </w:tbl>
    <w:p>
      <w:pPr>
        <w:spacing w:before="160" w:after="80" w:line="324" w:lineRule="auto"/>
        <w:jc w:val="left"/>
      </w:pPr>
      <w:r>
        <w:rPr>
          <w:rFonts w:ascii="宋体" w:hAnsi="宋体" w:eastAsia="宋体" w:cs="宋体"/>
          <w:b/>
          <w:sz w:val="23"/>
        </w:rPr>
        <w:t>伤残相关（评残后才有，内部测算基数 71703 元/年 × 16 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情形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残疾赔偿金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精神抚慰金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评不上残级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开放性骨折不必然构成伤残；以踝关节最终功能为准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十级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11.5 万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5,000 元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71703 × 16 年 × 0.1 ≈ 11.5 万；踝关节功能部分丧失时常见争取方向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九级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22.9 万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10,000 元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71703 × 16 年 × 0.2 ≈ 22.9 万；须功能丧失更重，由鉴定说了算</w:t>
            </w:r>
          </w:p>
        </w:tc>
      </w:tr>
    </w:tbl>
    <w:p>
      <w:pPr>
        <w:spacing w:before="200" w:after="120" w:line="300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五、三种情形的总账测算（费用取中值）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残级情形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总损失 L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外卖主责：美团 70%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己方缺口 30%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刘孝春担（k=50–70%）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爸爸自负→泰康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同等：美团 50%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刘孝春担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爸爸自负→泰康</w:t>
            </w:r>
          </w:p>
        </w:tc>
      </w:tr>
      <w:tr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评不上残级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12.0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8.4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3.6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1.8–2.5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1.1–1.8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6.0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3.0–4.2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1.8–3.0 万</w:t>
            </w:r>
          </w:p>
        </w:tc>
      </w:tr>
      <w:tr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十级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24.0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16.8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7.2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3.6–5.0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2.2–3.6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12.0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6.0–8.4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3.6–6.0 万</w:t>
            </w:r>
          </w:p>
        </w:tc>
      </w:tr>
      <w:tr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九级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36.0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25.2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10.8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5.4–7.6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3.2–5.4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18.0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9.0–12.6 万</w:t>
            </w:r>
          </w:p>
        </w:tc>
        <w:tc>
          <w:tcPr>
            <w:tcW w:type="dxa" w:w="1083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5.4–9.0 万</w:t>
            </w:r>
          </w:p>
        </w:tc>
      </w:tr>
    </w:tbl>
    <w:p>
      <w:pPr>
        <w:spacing w:before="120" w:after="100" w:line="324" w:lineRule="auto"/>
        <w:ind w:firstLine="397"/>
        <w:jc w:val="left"/>
      </w:pPr>
      <w:r>
        <w:rPr>
          <w:rFonts w:ascii="宋体" w:hAnsi="宋体" w:eastAsia="宋体" w:cs="宋体"/>
          <w:b w:val="0"/>
          <w:sz w:val="23"/>
        </w:rPr>
        <w:t>读法举例：若外卖主责且评上十级，总损失约 24.0 万，美团侧约 16.8 万（受保单限额约束），向刘孝春争取约 3.6–5.0 万，爸爸自负约 2.2–3.6 万——这块用泰康意外医疗报销 + 伤残给付去补。泰康伤残给付另算，不占上表。</w:t>
      </w:r>
    </w:p>
    <w:p>
      <w:pPr>
        <w:spacing w:before="200" w:after="120" w:line="300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六、泰康（个人险）核对清单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核对项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问什么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/>
                <w:sz w:val="20"/>
              </w:rPr>
              <w:t>为什么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保单是否存在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爸爸名下泰康（或其他公司）意外险、医疗险、住院津贴险；翻保单、问业务员、查泰康 App/95522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自负部分能不能转出去，先看有没有单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报案时限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事故已发生 8 天，立即报案拿报案号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多数条款要求及时报案，拖久了扯皮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意外医疗限额与免赔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限额多少、免赔额多少、是否限医保内用药、报销比例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报销型：报爸爸自负的医疗费，不能和美团险重复报同一张发票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伤残给付条款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按《人身保险伤残评定标准》几级给百分之几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给付型：按残级给钱，不看责任比例，可与交通事故赔偿叠加；注意保险伤残标准与司法鉴定标准不同，可能要两次鉴定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住院津贴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有没有、每天多少、限多少天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按住院天数另领，与其他赔付不冲突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材料清单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发票原件给谁（原件只有一套，先给赔付大头的）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宋体" w:hAnsi="宋体" w:eastAsia="宋体" w:cs="宋体"/>
                <w:b w:val="0"/>
                <w:sz w:val="20"/>
              </w:rPr>
              <w:t>美团险和泰康都要发票时，用分割单或复印件加盖章</w:t>
            </w:r>
          </w:p>
        </w:tc>
      </w:tr>
    </w:tbl>
    <w:p>
      <w:pPr>
        <w:spacing w:before="200" w:after="120" w:line="300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七、纪律（贯穿全程）</w:t>
      </w:r>
    </w:p>
    <w:p>
      <w:pPr>
        <w:spacing w:before="0" w:after="6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本件所有数字不对骑手、刘孝春、保险任何一方出口。有人问一共要多少：费用还在发生，等认定书和治疗稳定后按票算。</w:t>
      </w:r>
    </w:p>
    <w:p>
      <w:pPr>
        <w:spacing w:before="0" w:after="6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残级没鉴定之前，对外不说十级九级；对泰康报案只报事故和伤情，不自报残级。</w:t>
      </w:r>
    </w:p>
    <w:p>
      <w:pPr>
        <w:spacing w:before="0" w:after="6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不签一次性了结；刘的每一笔钱都写垫付收据。</w:t>
      </w:r>
    </w:p>
    <w:p>
      <w:pPr>
        <w:spacing w:before="0" w:after="6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美团侧约 70%（或 50%）找平台险，不让刘替骑手补，也不自己认掉。</w:t>
      </w:r>
    </w:p>
    <w:p>
      <w:pPr>
        <w:spacing w:before="0" w:after="60" w:line="324" w:lineRule="auto"/>
        <w:jc w:val="left"/>
      </w:pPr>
      <w:r>
        <w:rPr>
          <w:rFonts w:ascii="宋体" w:hAnsi="宋体" w:eastAsia="宋体" w:cs="宋体"/>
          <w:b w:val="0"/>
          <w:color w:val="A63D2F"/>
          <w:sz w:val="23"/>
        </w:rPr>
        <w:t>• 误工费证据（微信派活记录、工钱转账、市场证人）现在就收集，否则这项就是 0。</w:t>
      </w:r>
    </w:p>
    <w:p>
      <w:pPr>
        <w:spacing w:before="200" w:after="100" w:line="324" w:lineRule="auto"/>
        <w:jc w:val="left"/>
      </w:pPr>
      <w:r>
        <w:rPr>
          <w:rFonts w:ascii="宋体" w:hAnsi="宋体" w:eastAsia="宋体" w:cs="宋体"/>
          <w:b w:val="0"/>
          <w:color w:val="5C6B7A"/>
          <w:sz w:val="19"/>
        </w:rPr>
        <w:t>本件依据 2026-08-14 至 08-22 病历、口述与家属确认整理。重新生成：python3 scripts/build_all.py。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