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Microsoft YaHei" w:eastAsia="Microsoft YaHei" w:hAnsi="Microsoft YaHei"/>
          <w:b/>
          <w:color w:val="8B5A2B"/>
          <w:sz w:val="36"/>
          <w:szCs w:val="36"/>
        </w:rPr>
        <w:t>示例女士 · 养老与传承风险解决方案</w:t>
      </w:r>
    </w:p>
    <w:p>
      <w:pPr>
        <w:jc w:val="center"/>
        <w:spacing w:after="120"/>
      </w:pPr>
      <w:r>
        <w:rPr>
          <w:rFonts w:ascii="Microsoft YaHei" w:eastAsia="Microsoft YaHei" w:hAnsi="Microsoft YaHei"/>
          <w:color w:val="E07A30"/>
          <w:sz w:val="20"/>
          <w:szCs w:val="20"/>
        </w:rPr>
        <w:t>守你的财富，护你的晚年，承你的心</w:t>
      </w:r>
    </w:p>
    <w:p>
      <w:pPr>
        <w:jc w:val="center"/>
        <w:spacing w:after="8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亲启</w:t>
      </w:r>
    </w:p>
    <w:p>
      <w:pPr>
        <w:jc w:val="center"/>
        <w:spacing w:after="60"/>
      </w:pPr>
      <w:r>
        <w:rPr>
          <w:rFonts w:ascii="Microsoft YaHei" w:eastAsia="Microsoft YaHei" w:hAnsi="Microsoft YaHei"/>
          <w:color w:val="8C7A6A"/>
          <w:sz w:val="16"/>
          <w:szCs w:val="16"/>
        </w:rPr>
        <w:t>本报告仅供示例女士个人参考使用，不构成具体投资或保险购买建议。</w:t>
      </w:r>
    </w:p>
    <w:p>
      <w:pPr>
        <w:jc w:val="center"/>
        <w:spacing w:after="120"/>
      </w:pPr>
      <w:r>
        <w:rPr>
          <w:rFonts w:ascii="Microsoft YaHei" w:eastAsia="Microsoft YaHei" w:hAnsi="Microsoft YaHei"/>
          <w:color w:val="8C7A6A"/>
          <w:sz w:val="16"/>
          <w:szCs w:val="16"/>
        </w:rPr>
        <w:t>2026 年 8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关于本方案</w:t>
      </w:r>
    </w:p>
    <w:p>
      <w:pPr>
        <w:spacing w:after="100"/>
      </w:pPr>
      <w:r>
        <w:rPr>
          <w:rFonts w:ascii="Microsoft YaHei" w:eastAsia="Microsoft YaHei" w:hAnsi="Microsoft YaHei"/>
          <w:color w:val="4A3525"/>
          <w:sz w:val="20"/>
          <w:szCs w:val="20"/>
        </w:rPr>
        <w:t>本方案在首次深度面谈与《第一版报告信息补充》的基础上编制，是一份由风险分析报告延伸出的行动指南。方案聚焦于如何一步步解决已识别的风险，而非停留在风险描述层面。</w:t>
      </w:r>
    </w:p>
    <w:p>
      <w:pPr>
        <w:spacing w:after="100"/>
      </w:pPr>
      <w:r>
        <w:rPr>
          <w:rFonts w:ascii="Microsoft YaHei" w:eastAsia="Microsoft YaHei" w:hAnsi="Microsoft YaHei"/>
          <w:color w:val="4A3525"/>
          <w:sz w:val="20"/>
          <w:szCs w:val="20"/>
        </w:rPr>
        <w:t>方案结构：① 医疗品质保障 ② 养老现金流方案 ③ 应急保值优化 ④ 传承与监护安排 ⑤ 保险产品配置计划（预留，待确认后填入）</w:t>
      </w:r>
    </w:p>
    <w:tbl>
      <w:tblPr>
        <w:tblW w:w="5000" w:type="pct"/>
      </w:tblPr>
      <w:tblGrid>
        <w:gridCol w:w="9000"/>
      </w:tblGrid>
      <w:tr>
        <w:tc>
          <w:tcPr>
            <w:tcW w:w="5000" w:type="pct"/>
            <w:shd w:val="clear" w:color="auto" w:fill="FDF3E6"/>
            <w:tcBorders>
              <w:left w:val="single" w:sz="24" w:space="0" w:color="E07A30"/>
            </w:tcBorders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E07A30"/>
                <w:sz w:val="18"/>
                <w:szCs w:val="18"/>
              </w:rPr>
              <w:t>核心结论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当前最关键的行动是——先补全健康保障（重疾险重投 + 中高端医疗），同时落地养老年金方案。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一、健康状况更新（沟通确认）</w:t>
      </w:r>
    </w:p>
    <w:p>
      <w:pPr>
        <w:spacing w:after="100"/>
      </w:pPr>
      <w:r>
        <w:rPr>
          <w:rFonts w:ascii="Microsoft YaHei" w:eastAsia="Microsoft YaHei" w:hAnsi="Microsoft YaHei"/>
          <w:color w:val="4A3525"/>
          <w:sz w:val="20"/>
          <w:szCs w:val="20"/>
        </w:rPr>
        <w:t>以下健康信息将直接影响投保选择和健康告知，须在投保前如实核对。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检查项目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风险评估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对保险的影响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高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血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脂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已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知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指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标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，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经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治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疗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后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恢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复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正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常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低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-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中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度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须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如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实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告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知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；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多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数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疾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/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医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疗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可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承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color w:val="4A3525"/>
          <w:sz w:val="20"/>
          <w:szCs w:val="20"/>
        </w:rPr>
        <w:t>投保建议：整体健康状况可控，仍处投保黄金窗口。主要关注高血脂与血管斑块的告知方式，建议在投保前先做「预核保」。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二、解决方案一：医疗品质保障【最优先】</w:t>
      </w:r>
    </w:p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（一）现状与缺口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保障层级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具体情况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覆盖范围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缺口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社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医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含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长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护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险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普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通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部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基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础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医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疗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D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R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G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后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自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费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增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多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（二）解决方向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工具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作用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操作建议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疾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险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（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投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）</w:t>
            </w:r>
          </w:p>
        </w:tc>
      </w:tr>
      <w:tr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大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疾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病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一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次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性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定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额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给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付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尽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快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投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，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趁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窗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口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期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（三）沟通确认的关键细节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重疾 vs 医疗：重疾为一次性给付，与医疗险报销不重复。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DRG 下：院外康复、护理、收入中断不报销，正是重疾险价值。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0 免赔：可报销医保剩余部分，填补小额自费缺口。</w:t>
      </w:r>
    </w:p>
    <w:tbl>
      <w:tblPr>
        <w:tblW w:w="5000" w:type="pct"/>
      </w:tblPr>
      <w:tblGrid>
        <w:gridCol w:w="9000"/>
      </w:tblGrid>
      <w:tr>
        <w:tc>
          <w:tcPr>
            <w:tcW w:w="5000" w:type="pct"/>
            <w:shd w:val="clear" w:color="auto" w:fill="FDF3E6"/>
            <w:tcBorders>
              <w:left w:val="single" w:sz="24" w:space="0" w:color="E07A30"/>
            </w:tcBorders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E07A30"/>
                <w:sz w:val="18"/>
                <w:szCs w:val="18"/>
              </w:rPr>
              <w:t>下一步行动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提交健康资料 → 确认承保条件 → 签单。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三、解决方案二：养老现金流方案【第二优先】</w:t>
      </w:r>
    </w:p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（一）现状与缺口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现状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建议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判断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社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替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代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率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仅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靠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社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，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替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代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率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有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限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转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职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工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社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仍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须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补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充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商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业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养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老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金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（二）解决方向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笔钱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金额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工具类型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特点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①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养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老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年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金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1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5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0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万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养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老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年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金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（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固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定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为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主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）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6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0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/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6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5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岁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起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月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领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≥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1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万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（三）沟通确认的关键细节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年金核心价值不是收益率最高，而是活多久领多久 + 按月到账 + 心理安全感。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利率窗口提示：普通型预定利率上限已降至 2.0%。</w:t>
      </w:r>
    </w:p>
    <w:tbl>
      <w:tblPr>
        <w:tblW w:w="5000" w:type="pct"/>
      </w:tblPr>
      <w:tblGrid>
        <w:gridCol w:w="9000"/>
      </w:tblGrid>
      <w:tr>
        <w:tc>
          <w:tcPr>
            <w:tcW w:w="5000" w:type="pct"/>
            <w:shd w:val="clear" w:color="auto" w:fill="FDF3E6"/>
            <w:tcBorders>
              <w:left w:val="single" w:sz="24" w:space="0" w:color="E07A30"/>
            </w:tcBorders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E07A30"/>
                <w:sz w:val="18"/>
                <w:szCs w:val="18"/>
              </w:rPr>
              <w:t>下一步行动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出具产品计划书演示，客户决策后配置。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四、解决方案三：应急保值与存量优化</w:t>
      </w:r>
    </w:p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（一）现状与缺口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工具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判断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建议定位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银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行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存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款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/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理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财</w:t>
            </w:r>
          </w:p>
        </w:tc>
      </w:tr>
      <w:tr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灵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活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性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好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持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少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量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现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金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应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急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（二）解决方向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工具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判断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建议定位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年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金</w:t>
            </w:r>
          </w:p>
        </w:tc>
      </w:tr>
      <w:tr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强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制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储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蓄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+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终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身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养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老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现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金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流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底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盘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（三）沟通确认的关键细节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资源优先向健康险和年金倾斜，存量优化随信托架构确定后统筹。</w:t>
      </w:r>
    </w:p>
    <w:tbl>
      <w:tblPr>
        <w:tblW w:w="5000" w:type="pct"/>
      </w:tblPr>
      <w:tblGrid>
        <w:gridCol w:w="9000"/>
      </w:tblGrid>
      <w:tr>
        <w:tc>
          <w:tcPr>
            <w:tcW w:w="5000" w:type="pct"/>
            <w:shd w:val="clear" w:color="auto" w:fill="FDF3E6"/>
            <w:tcBorders>
              <w:left w:val="single" w:sz="24" w:space="0" w:color="E07A30"/>
            </w:tcBorders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E07A30"/>
                <w:sz w:val="18"/>
                <w:szCs w:val="18"/>
              </w:rPr>
              <w:t>下一步行动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待信托架构确定后统筹存量。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五、解决方案四：传承与监护安排</w:t>
      </w:r>
    </w:p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（一）现状与缺口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家庭成员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法律身份与风险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遗嘱/隔离安排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父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亲</w:t>
            </w:r>
          </w:p>
        </w:tc>
      </w:tr>
      <w:tr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第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一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顺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序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法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定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继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承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人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立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遗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嘱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排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除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父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亲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（二）解决方向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安排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作用</w:t>
            </w:r>
          </w:p>
        </w:tc>
        <w:tc>
          <w:tcPr>
            <w:tcW w:w="1666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操作建议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遗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嘱</w:t>
            </w:r>
          </w:p>
        </w:tc>
      </w:tr>
      <w:tr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锁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死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资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产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流</w:t>
            </w:r>
          </w:p>
        </w:tc>
        <w:tc>
          <w:tcPr>
            <w:tcW w:w="1666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向</w:t>
            </w:r>
          </w:p>
        </w:tc>
      </w:tr>
      <w:tr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尽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早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订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立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并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公</w:t>
            </w:r>
          </w:p>
        </w:tc>
        <w:tc>
          <w:tcPr>
            <w:tcW w:w="1666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证</w:t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E07A30"/>
          <w:sz w:val="18"/>
          <w:szCs w:val="18"/>
        </w:rPr>
        <w:t>（三）沟通确认的关键细节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关系断联 ≠ 法律关系消失，须用遗嘱锁死流向。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意定监护可后期再做，先建立认知。</w:t>
      </w:r>
    </w:p>
    <w:tbl>
      <w:tblPr>
        <w:tblW w:w="5000" w:type="pct"/>
      </w:tblPr>
      <w:tblGrid>
        <w:gridCol w:w="9000"/>
      </w:tblGrid>
      <w:tr>
        <w:tc>
          <w:tcPr>
            <w:tcW w:w="5000" w:type="pct"/>
            <w:shd w:val="clear" w:color="auto" w:fill="FDF3E6"/>
            <w:tcBorders>
              <w:left w:val="single" w:sz="24" w:space="0" w:color="E07A30"/>
            </w:tcBorders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E07A30"/>
                <w:sz w:val="18"/>
                <w:szCs w:val="18"/>
              </w:rPr>
              <w:t>下一步行动</w:t>
            </w:r>
          </w:p>
          <w:p>
            <w:pPr>
              <w:spacing w:after="4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推进遗嘱订立，意定监护后期安排。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六、港险规划结论</w:t>
      </w:r>
    </w:p>
    <w:p>
      <w:pPr>
        <w:spacing w:after="100"/>
      </w:pPr>
      <w:r>
        <w:rPr>
          <w:rFonts w:ascii="Microsoft YaHei" w:eastAsia="Microsoft YaHei" w:hAnsi="Microsoft YaHei"/>
          <w:color w:val="4A3525"/>
          <w:sz w:val="20"/>
          <w:szCs w:val="20"/>
        </w:rPr>
        <w:t>从资金使用上看，这笔钱的规划目的不是增值多少，而是确定性的现金流。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客户无外币使用场景，港险复利优势不明显。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结论：本次不建议通过港险规划，资金在国内做好稳定担保。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风险—解决方案对照总表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00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00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风险</w:t>
            </w:r>
          </w:p>
        </w:tc>
        <w:tc>
          <w:tcPr>
            <w:tcW w:w="100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紧迫度</w:t>
            </w:r>
          </w:p>
        </w:tc>
        <w:tc>
          <w:tcPr>
            <w:tcW w:w="100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解决方案</w:t>
            </w:r>
          </w:p>
        </w:tc>
        <w:tc>
          <w:tcPr>
            <w:tcW w:w="100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状态</w:t>
            </w:r>
          </w:p>
        </w:tc>
      </w:tr>
      <w:tr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1</w:t>
            </w:r>
          </w:p>
        </w:tc>
      </w:tr>
      <w:tr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疾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退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缺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口</w:t>
            </w:r>
          </w:p>
        </w:tc>
      </w:tr>
      <w:tr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★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★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★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★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★</w:t>
            </w:r>
          </w:p>
        </w:tc>
      </w:tr>
      <w:tr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疾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险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投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+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中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高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端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医</w:t>
            </w:r>
          </w:p>
        </w:tc>
        <w:tc>
          <w:tcPr>
            <w:tcW w:w="100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疗</w:t>
            </w:r>
          </w:p>
        </w:tc>
      </w:tr>
      <w:tr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最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紧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迫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·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待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执</w:t>
            </w:r>
          </w:p>
        </w:tc>
        <w:tc>
          <w:tcPr>
            <w:tcW w:w="100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行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行动优先级与时间轴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行动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负责方</w:t>
            </w:r>
          </w:p>
        </w:tc>
        <w:tc>
          <w:tcPr>
            <w:tcW w:w="1250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备注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近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期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（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本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月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内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）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①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疾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险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重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投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核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②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 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中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高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端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医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疗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预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核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</w:tr>
      <w:tr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协</w:t>
            </w:r>
          </w:p>
        </w:tc>
        <w:tc>
          <w:tcPr>
            <w:tcW w:w="1250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助</w:t>
            </w:r>
          </w:p>
        </w:tc>
      </w:tr>
      <w:tr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健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康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保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障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是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地</w:t>
            </w:r>
          </w:p>
        </w:tc>
        <w:tc>
          <w:tcPr>
            <w:tcW w:w="1250" w:type="pct"/>
            <w:shd w:val="clear" w:color="auto" w:fill="FFF8F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>基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九、保险产品配置计划（预留页）</w:t>
      </w:r>
    </w:p>
    <w:p>
      <w:pPr>
        <w:spacing w:after="100"/>
      </w:pPr>
      <w:r>
        <w:rPr>
          <w:rFonts w:ascii="Microsoft YaHei" w:eastAsia="Microsoft YaHei" w:hAnsi="Microsoft YaHei"/>
          <w:color w:val="4A3525"/>
          <w:sz w:val="20"/>
          <w:szCs w:val="20"/>
        </w:rPr>
        <w:t>说明：以下页面为产品计划预留区，在完成产品筛选和演示后，由顾问填入具体产品名称、保额、保费、起领金额等详细信息。客户签字确认后作为正式配置记录。本次仅列类别与空白表，不填具体产品。</w:t>
      </w:r>
    </w:p>
    <w:p>
      <w:pPr>
        <w:spacing w:after="100"/>
      </w:pPr>
      <w:r>
        <w:rPr>
          <w:rFonts w:ascii="Microsoft YaHei" w:eastAsia="Microsoft YaHei" w:hAnsi="Microsoft YaHei"/>
          <w:b/>
          <w:color w:val="A06A30"/>
          <w:sz w:val="18"/>
          <w:szCs w:val="18"/>
        </w:rPr>
        <w:t>产品一：健康保障（重疾险 + 中高端医疗）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被保人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保障计划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保险期间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交费期间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保障额度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首年保费</w:t>
            </w:r>
          </w:p>
        </w:tc>
      </w:tr>
      <w:tr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A06A30"/>
          <w:sz w:val="18"/>
          <w:szCs w:val="18"/>
        </w:rPr>
        <w:t>产品二：养老年金（60/65 岁起领）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被保人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保障计划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保险期间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交费期间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保障额度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首年保费</w:t>
            </w:r>
          </w:p>
        </w:tc>
      </w:tr>
      <w:tr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</w:tr>
    </w:tbl>
    <w:p>
      <w:pPr>
        <w:spacing w:after="100"/>
      </w:pPr>
      <w:r>
        <w:rPr>
          <w:rFonts w:ascii="Microsoft YaHei" w:eastAsia="Microsoft YaHei" w:hAnsi="Microsoft YaHei"/>
          <w:b/>
          <w:color w:val="A06A30"/>
          <w:sz w:val="18"/>
          <w:szCs w:val="18"/>
        </w:rPr>
        <w:t>产品三：增额终身寿（应急储备）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被保人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保障计划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保险期间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交费期间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保障额度</w:t>
            </w:r>
          </w:p>
        </w:tc>
        <w:tc>
          <w:tcPr>
            <w:tcW w:w="833" w:type="pct"/>
            <w:shd w:val="clear" w:color="auto" w:fill="A06A30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>首年保费</w:t>
            </w:r>
          </w:p>
        </w:tc>
      </w:tr>
      <w:tr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  <w:tc>
          <w:tcPr>
            <w:tcW w:w="833" w:type="pct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4A3525"/>
                <w:sz w:val="18"/>
                <w:szCs w:val="18"/>
              </w:rPr>
              <w:t/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A06A30"/>
          <w:sz w:val="24"/>
          <w:szCs w:val="24"/>
        </w:rPr>
        <w:t>十、结语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医疗：不追求最贵，但要在关键时刻「有选择权」。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养老金：不仅是补缺口，而是让退休生活有品质、有尊严。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应急：已经有了准备，不需要过度配置。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传承：把资产流向用遗嘱锁死，不给法定继承留漏洞。</w:t>
      </w:r>
    </w:p>
    <w:p>
      <w:pPr>
        <w:spacing w:after="60"/>
      </w:pPr>
      <w:r>
        <w:rPr>
          <w:rFonts w:ascii="Microsoft YaHei" w:eastAsia="Microsoft YaHei" w:hAnsi="Microsoft YaHei"/>
          <w:color w:val="4A3525"/>
          <w:sz w:val="20"/>
          <w:szCs w:val="20"/>
        </w:rPr>
        <w:t>● 监护：认知先行，后期再把决策权交给信任的人。</w:t>
      </w:r>
    </w:p>
    <w:p>
      <w:pPr>
        <w:spacing w:after="40"/>
      </w:pPr>
      <w:r>
        <w:rPr>
          <w:rFonts w:ascii="Microsoft YaHei" w:eastAsia="Microsoft YaHei" w:hAnsi="Microsoft YaHei"/>
          <w:color w:val="4A3525"/>
          <w:sz w:val="20"/>
          <w:szCs w:val="20"/>
        </w:rPr>
        <w:t>敬呈</w:t>
      </w:r>
    </w:p>
    <w:p>
      <w:pPr>
        <w:spacing w:after="40"/>
      </w:pPr>
      <w:r>
        <w:rPr>
          <w:rFonts w:ascii="Microsoft YaHei" w:eastAsia="Microsoft YaHei" w:hAnsi="Microsoft YaHei"/>
          <w:color w:val="8C7A6A"/>
          <w:sz w:val="16"/>
          <w:szCs w:val="16"/>
        </w:rPr>
        <w:t>2026 年 8 月</w:t>
      </w:r>
    </w:p>
    <w:p>
      <w:pPr>
        <w:spacing w:after="120"/>
      </w:pPr>
      <w:r>
        <w:rPr>
          <w:rFonts w:ascii="Microsoft YaHei" w:eastAsia="Microsoft YaHei" w:hAnsi="Microsoft YaHei"/>
          <w:b/>
          <w:color w:val="A06A30"/>
          <w:sz w:val="18"/>
          <w:szCs w:val="18"/>
        </w:rPr>
        <w:t>清流计划 敬呈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0"/>
        <w:szCs w:val="2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养老与传承风险解决方案</dc:title>
  <dc:creator>清流计划</dc:creator>
  <dcterms:created xsi:type="dcterms:W3CDTF">2026-08-01T00:00:00Z</dcterms:created>
  <dcterms:modified xsi:type="dcterms:W3CDTF">2026-08-01T00:00:00Z</dcterms:modified>
</cp:coreProperties>
</file>