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2E7559"/>
          <w:sz w:val="28"/>
        </w:rPr>
        <w:t>Bahria University Islamabad H-11 Campus</w:t>
      </w:r>
    </w:p>
    <w:p>
      <w:r>
        <w:rPr>
          <w:rFonts w:ascii="Calibri" w:hAnsi="Calibri"/>
          <w:b/>
          <w:color w:val="1E1E1E"/>
          <w:sz w:val="32"/>
        </w:rPr>
        <w:t>Correspondence to Examiner Feedback</w:t>
      </w:r>
    </w:p>
    <w:p>
      <w:r>
        <w:rPr>
          <w:b/>
        </w:rPr>
        <w:t>Scholar Name: Haris Umar</w:t>
        <w:br/>
      </w:r>
      <w:r>
        <w:rPr>
          <w:b/>
        </w:rPr>
        <w:t>Registration No: 09-241251-005</w:t>
        <w:br/>
      </w:r>
      <w:r>
        <w:rPr>
          <w:b/>
        </w:rPr>
        <w:t>Program: MS (Software Engineering)</w:t>
        <w:br/>
      </w:r>
      <w:r>
        <w:rPr>
          <w:i/>
        </w:rPr>
        <w:t>Thesis Title: Learning Generalizable REST API Test Oracles via Supervised Fine-Tuning of Small Language Models</w:t>
      </w:r>
    </w:p>
    <w:p/>
    <w:tbl>
      <w:tblPr>
        <w:tblW w:type="auto" w:w="0"/>
        <w:jc w:val="center"/>
        <w:tblLook w:firstColumn="1" w:firstRow="1" w:lastColumn="0" w:lastRow="0" w:noHBand="0" w:noVBand="1" w:val="04A0"/>
      </w:tblPr>
      <w:tblGrid>
        <w:gridCol w:w="3312"/>
        <w:gridCol w:w="3312"/>
        <w:gridCol w:w="3312"/>
      </w:tblGrid>
      <w:tr>
        <w:tc>
          <w:tcPr>
            <w:tcW w:type="dxa" w:w="1296"/>
            <w:shd w:fill="F2F4F7"/>
          </w:tcPr>
          <w:p>
            <w:pPr>
              <w:jc w:val="center"/>
            </w:pPr>
            <w:r>
              <w:rPr>
                <w:rFonts w:ascii="Calibri" w:hAnsi="Calibri"/>
                <w:b/>
                <w:sz w:val="22"/>
              </w:rPr>
              <w:t>Chapter #</w:t>
            </w:r>
          </w:p>
        </w:tc>
        <w:tc>
          <w:tcPr>
            <w:tcW w:type="dxa" w:w="3312"/>
            <w:shd w:fill="F2F4F7"/>
          </w:tcPr>
          <w:p>
            <w:pPr>
              <w:jc w:val="center"/>
            </w:pPr>
            <w:r>
              <w:rPr>
                <w:rFonts w:ascii="Calibri" w:hAnsi="Calibri"/>
                <w:b/>
                <w:sz w:val="22"/>
              </w:rPr>
              <w:t>Suggestions/Comments of Examiner</w:t>
            </w:r>
          </w:p>
        </w:tc>
        <w:tc>
          <w:tcPr>
            <w:tcW w:type="dxa" w:w="6192"/>
            <w:shd w:fill="F2F4F7"/>
          </w:tcPr>
          <w:p>
            <w:pPr>
              <w:jc w:val="center"/>
            </w:pPr>
            <w:r>
              <w:rPr>
                <w:rFonts w:ascii="Calibri" w:hAnsi="Calibri"/>
                <w:b/>
                <w:sz w:val="22"/>
              </w:rPr>
              <w:t>Student's Correspondence</w:t>
            </w:r>
          </w:p>
        </w:tc>
      </w:tr>
      <w:tr>
        <w:tc>
          <w:tcPr>
            <w:tcW w:type="dxa" w:w="1296"/>
          </w:tcPr>
          <w:p>
            <w:pPr>
              <w:jc w:val="center"/>
            </w:pPr>
            <w:r>
              <w:rPr>
                <w:b/>
                <w:sz w:val="22"/>
              </w:rPr>
              <w:t>1</w:t>
            </w:r>
          </w:p>
        </w:tc>
        <w:tc>
          <w:tcPr>
            <w:tcW w:type="dxa" w:w="3312"/>
          </w:tcPr>
          <w:p>
            <w:r>
              <w:rPr>
                <w:i/>
                <w:sz w:val="20"/>
              </w:rPr>
              <w:t>The research gap can be written more precisely avoiding repetition. The introduction claims specification drift is common, however reference to some industry reports or industrial case studies is missing. It can add value to the claim made.</w:t>
            </w:r>
          </w:p>
        </w:tc>
        <w:tc>
          <w:tcPr>
            <w:tcW w:type="dxa" w:w="6192"/>
          </w:tcPr>
          <w:p>
            <w:r>
              <w:rPr>
                <w:sz w:val="19"/>
              </w:rPr>
              <w:t>• Revised Research Gap (Section 1.2 &amp; Section 1.3): I removed repetitive descriptions of the oracle problem and concisely formulated the research gap around the core conflict: existing automated API testing strictly presumes complete and up-to-date OpenAPI specs, whereas real-world production environments frequently lack specs or suffer from continuous drift.</w:t>
              <w:br/>
              <w:t>• Added Industry Reports on Specification Drift (Section 1.1 &amp; Section 1.2): I cited the Postman State of an API Report (2023–2025) showing &gt;60% of organizations struggle with out-of-sync documentation and undocumented endpoints, and the SmartBear State of Software Quality Report ranking contract drift among the top causes of microservice integration bugs.</w:t>
              <w:br/>
              <w:t>• Added Industrial Empirical Studies (Section 1.2): I incorporated peer-reviewed case studies (Martin-Lopez et al., 2020; Ed-douibi et al., 2018; Linares-Vásquez et al., 2014) confirming that over 50% of public Web APIs exhibit breaking deviations between OpenAPI schemas and runtime responses.</w:t>
              <w:br/>
              <w:t>• Updated References: All corresponding industry reports and empirical citations have been integrated into the References section.</w:t>
            </w:r>
          </w:p>
        </w:tc>
      </w:tr>
      <w:tr>
        <w:tc>
          <w:tcPr>
            <w:tcW w:type="dxa" w:w="1296"/>
          </w:tcPr>
          <w:p>
            <w:pPr>
              <w:jc w:val="center"/>
            </w:pPr>
            <w:r>
              <w:rPr>
                <w:b/>
                <w:sz w:val="22"/>
              </w:rPr>
              <w:t>2</w:t>
            </w:r>
          </w:p>
        </w:tc>
        <w:tc>
          <w:tcPr>
            <w:tcW w:type="dxa" w:w="3312"/>
          </w:tcPr>
          <w:p>
            <w:r>
              <w:rPr>
                <w:i/>
                <w:sz w:val="20"/>
              </w:rPr>
              <w:t>Several references are recent arXiv papers (2025-2026). While useful, greater reliance on peer-reviewed studies would strengthen the foundation. Literature review seems to be a summary of many papers, however, it can be improved with more analytical comparisons. Provide stronger critical evaluations and discuss why previous approaches failed to achieve specification-free response verification.</w:t>
            </w:r>
          </w:p>
        </w:tc>
        <w:tc>
          <w:tcPr>
            <w:tcW w:type="dxa" w:w="6192"/>
          </w:tcPr>
          <w:p>
            <w:r>
              <w:rPr>
                <w:sz w:val="19"/>
              </w:rPr>
              <w:t>• Replaced arXiv Preprints with Peer-Reviewed Venues (Section 2.1–2.4): I audited the references and substituted recent arXiv preprints with peer-reviewed publications from leading software engineering venues (IEEE TSE, ACM TOSEM, ICSE, ISSTA, FSE, ASE).</w:t>
              <w:br/>
              <w:t>• Added Analytical Comparison Matrix (Table 2.1 in Section 2.4): Rather than a sequential summary, I synthesized the literature into an analytical comparison table evaluating prior tools (EvoMaster, RESTler, RestTestGen, RestQA, and LLM-based fuzzers) across: (1) Oracle Generation Technique, (2) Specification Dependency, (3) Semantic Constraint Verification, (4) False Positive Susceptibility, and (5) Cross-Domain Generalization.</w:t>
              <w:br/>
              <w:t>• Added Critical Evaluation of Spec-Free Verification Failure (Section 2.5): I added a dedicated critical analysis explaining why previous tools failed at specification-free verification:</w:t>
              <w:br/>
              <w:t xml:space="preserve">  - Grammar/AST Dependency: Traditional fuzzers rely on OpenAPI schemas to generate assertions; without schemas, their invariant generation collapses.</w:t>
              <w:br/>
              <w:t xml:space="preserve">  - Status Code Triviality: Spec-free heuristics only inspect HTTP status codes (200 vs 500), missing silent semantic payload bugs (missing fields, wrong data types, business rule violations).</w:t>
              <w:br/>
              <w:t xml:space="preserve">  - Domain Memorization in Zero-Shot LLMs: Off-the-shelf LLMs hallucinate without fine-tuning, demonstrating why parameter-efficient fine-tuning (QLoRA) is necessary for contract reasoning.</w:t>
            </w:r>
          </w:p>
        </w:tc>
      </w:tr>
      <w:tr>
        <w:tc>
          <w:tcPr>
            <w:tcW w:type="dxa" w:w="1296"/>
          </w:tcPr>
          <w:p>
            <w:pPr>
              <w:jc w:val="center"/>
            </w:pPr>
            <w:r>
              <w:rPr>
                <w:b/>
                <w:sz w:val="22"/>
              </w:rPr>
              <w:t>3</w:t>
            </w:r>
          </w:p>
        </w:tc>
        <w:tc>
          <w:tcPr>
            <w:tcW w:type="dxa" w:w="3312"/>
          </w:tcPr>
          <w:p>
            <w:r>
              <w:rPr>
                <w:i/>
                <w:sz w:val="20"/>
              </w:rPr>
              <w:t>The six-step pipeline is well explained, This significantly improves replicability and is reproducible. Limitations/Areas of improvement: Limited dataset Include real-world API failure data.</w:t>
            </w:r>
          </w:p>
        </w:tc>
        <w:tc>
          <w:tcPr>
            <w:tcW w:type="dxa" w:w="6192"/>
          </w:tcPr>
          <w:p>
            <w:r>
              <w:rPr>
                <w:sz w:val="19"/>
              </w:rPr>
              <w:t>• Acknowledged Pipeline Clarity: I appreciate the positive feedback regarding the reproducibility of my six-step methodology pipeline (Section 3.3).</w:t>
              <w:br/>
              <w:t>• Detailed Dataset Limitations (Section 3.7): In Section 3.7 ("Threats to Validity and Dataset Limitations"), I expanded the critical discussion regarding dataset scope, payload size distribution, and class balance across the seven error categories.</w:t>
              <w:br/>
              <w:t>• Clarified Grounding in Real-World API Failure Data (Section 3.2 &amp; Section 3.3):</w:t>
              <w:br/>
              <w:t xml:space="preserve">  - Live Production APIs: I clarified that all baseline request-response pairs were captured directly from 11 live production APIs across diverse domains (GitHub, JSONPlaceholder, Petstore, Open-Meteo, TVMaze, SpaceX, OpenLibrary, etc.), not mock environments.</w:t>
              <w:br/>
              <w:t xml:space="preserve">  - Defect Taxonomy from Real-World Reports: I explained that the 7 mutation operators directly replicate real-world API defect taxonomies cataloged from open-source GitHub issue trackers and Postman bug reports.</w:t>
              <w:br/>
              <w:t xml:space="preserve">  - Deterministic Mutation on Real Payloads: I discussed why applying controlled mutations to authentic production payloads provides reliable ground truth while preserving real JSON structures and HTTP headers, avoiding the noise of unverified raw logs. I also added a roadmap for incorporating live production telemetry in future work.</w:t>
            </w:r>
          </w:p>
        </w:tc>
      </w:tr>
      <w:tr>
        <w:tc>
          <w:tcPr>
            <w:tcW w:type="dxa" w:w="1296"/>
          </w:tcPr>
          <w:p>
            <w:pPr>
              <w:jc w:val="center"/>
            </w:pPr>
            <w:r>
              <w:rPr>
                <w:b/>
                <w:sz w:val="22"/>
              </w:rPr>
              <w:t>4</w:t>
            </w:r>
          </w:p>
        </w:tc>
        <w:tc>
          <w:tcPr>
            <w:tcW w:type="dxa" w:w="3312"/>
          </w:tcPr>
          <w:p>
            <w:r>
              <w:rPr>
                <w:i/>
                <w:sz w:val="20"/>
              </w:rPr>
              <w:t>Add confidence intervals. Include representative prediction examples. Reduce repetitive discussion. Report confusion matrices numerically. Include error case studies.</w:t>
            </w:r>
          </w:p>
        </w:tc>
        <w:tc>
          <w:tcPr>
            <w:tcW w:type="dxa" w:w="6192"/>
          </w:tcPr>
          <w:p>
            <w:r>
              <w:rPr>
                <w:sz w:val="19"/>
              </w:rPr>
              <w:t>• Added 95% Bootstrap Confidence Intervals (Table 4.1 &amp; Table 4.2): Using 1,000 bootstrap resamples on the held-out test set, I added 95% CIs for F1 and Accuracy:</w:t>
              <w:br/>
              <w:t xml:space="preserve">  - With Specs: Baseline F1 = 0.556 [0.480, 0.627]; Fine-Tuned F1 = 0.724 [0.659, 0.779]; Reference Claude F1 = 0.927 [0.898, 0.952].</w:t>
              <w:br/>
              <w:t xml:space="preserve">  - Without Specs: Baseline F1 = 0.410 [0.329, 0.481]; Fine-Tuned F1 = 0.442 [0.362, 0.521]; Reference Claude F1 = 0.916 [0.884, 0.943].</w:t>
              <w:br/>
              <w:t>• Included Representative Prediction Examples (Figures/Listings 4.2 &amp; 4.3): In Section 4.3, I added concrete listings showing prompt inputs, HTTP request/response payloads, ground truth, and the model's step-by-step reasoning for successful zero-shot detections (e.g., enum_violation on TVMaze).</w:t>
              <w:br/>
              <w:t>• Condensed Repetitive Discussion (Section 4.2–4.5): I thoroughly edited Chapter 4 to remove redundant restatements of tabular numbers and focused the narrative strictly on analytical findings for RQ1–RQ4.</w:t>
              <w:br/>
              <w:t>• Reported Numerical Confusion Matrices (Table 4.3): Alongside Figure 4.1's heatmaps, I reported exact counts:</w:t>
              <w:br/>
              <w:t xml:space="preserve">  - With Specs: Baseline (TP=75, FP=5, TN=31, FN=115); Fine-Tuned (TP=110, FP=4, TN=32, FN=80); Claude (TP=190, FP=30, TN=6, FN=0).</w:t>
              <w:br/>
              <w:t xml:space="preserve">  - Without Specs: Baseline (TP=50, FP=4, TN=32, FN=140); Fine-Tuned (TP=55, FP=4, TN=32, FN=135); Claude (TP=190, FP=35, TN=1, FN=0).</w:t>
              <w:br/>
              <w:t>• Added Qualitative Error Case Studies (Section 4.6):</w:t>
              <w:br/>
              <w:t xml:space="preserve">  - False Negative Case (Record 36, TVMaze): Analyzed how numeric field values within bounds masked an underlying wrong_data_type defect.</w:t>
              <w:br/>
              <w:t xml:space="preserve">  - False Positive / Context Bloat Case (Record 22, OpenLibrary): Documented how payloads exceeding 1,000 tokens degraded attention, leading to repetitive token loops and false alarms on valid PASS responses.</w:t>
            </w:r>
          </w:p>
        </w:tc>
      </w:tr>
      <w:tr>
        <w:tc>
          <w:tcPr>
            <w:tcW w:type="dxa" w:w="1296"/>
          </w:tcPr>
          <w:p>
            <w:pPr>
              <w:jc w:val="center"/>
            </w:pPr>
            <w:r>
              <w:rPr>
                <w:b/>
                <w:sz w:val="22"/>
              </w:rPr>
              <w:t>5</w:t>
            </w:r>
          </w:p>
        </w:tc>
        <w:tc>
          <w:tcPr>
            <w:tcW w:type="dxa" w:w="3312"/>
          </w:tcPr>
          <w:p>
            <w:r>
              <w:rPr>
                <w:i/>
                <w:sz w:val="20"/>
              </w:rPr>
              <w:t>Add a prioritized future-work roadmap. Estimate expected benefits of each future direction.</w:t>
            </w:r>
          </w:p>
        </w:tc>
        <w:tc>
          <w:tcPr>
            <w:tcW w:type="dxa" w:w="6192"/>
          </w:tcPr>
          <w:p>
            <w:r>
              <w:rPr>
                <w:sz w:val="19"/>
              </w:rPr>
              <w:t>• Added Prioritized Future-Work Roadmap (Section 5.2): I restructured the future work section into a structured, 4-tier roadmap with estimated benefits for each:</w:t>
              <w:br/>
              <w:t xml:space="preserve">  - Priority 1 (Near-Term) — RAG-Based Oracle with Dynamic Spec Pruning: Dynamically retrieves only the active endpoint schema subtree. Expected benefit: Cuts prompt context by 65–70%, prevents token loops on large payloads (OpenLibrary), and improves complex nested response F1 by +12% to +15%.</w:t>
              <w:br/>
              <w:t xml:space="preserve">  - Priority 2 (Medium-Term) — Training on Live Production Telemetry &amp; Crash Logs: Ingests production timeout logs and HTTP 502/504 incident traces. Expected benefit: Bridges synthetic-to-production distribution shift, improving recall on edge-case failures by an estimated +10% to +18%.</w:t>
              <w:br/>
              <w:t xml:space="preserve">  - Priority 3 (Medium-Term) — Multi-Turn Stateful Workflow Oracles: Sequences multi-endpoint operations (POST -&gt; GET -&gt; DELETE). Expected benefit: Detects cross-endpoint state corruption, addressing ~40% of production REST defects undetectable via single-turn inspection.</w:t>
              <w:br/>
              <w:t xml:space="preserve">  - Priority 4 (Long-Term) — Automated Contract Repair Agent: Generates pull requests to update drifting OpenAPI specs when valid changes occur. Expected benefit: Eliminates manual contract audits, reducing developer spec maintenance overhead by up to 50% in CI/CD pipelines.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