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2E7559"/>
          <w:sz w:val="28"/>
        </w:rPr>
        <w:t>Bahria University Islamabad H-11 Campus</w:t>
      </w:r>
    </w:p>
    <w:p>
      <w:r>
        <w:rPr>
          <w:rFonts w:ascii="Calibri" w:hAnsi="Calibri"/>
          <w:b/>
          <w:color w:val="1E1E1E"/>
          <w:sz w:val="32"/>
        </w:rPr>
        <w:t>Correspondence to Examiner Feedback</w:t>
      </w:r>
    </w:p>
    <w:p>
      <w:r>
        <w:rPr>
          <w:b/>
        </w:rPr>
        <w:t>Scholar Name: Haris Umar</w:t>
        <w:br/>
      </w:r>
      <w:r>
        <w:rPr>
          <w:b/>
        </w:rPr>
        <w:t>Registration No: 09-241251-005</w:t>
        <w:br/>
      </w:r>
      <w:r>
        <w:rPr>
          <w:b/>
        </w:rPr>
        <w:t>Program: MS (Software Engineering)</w:t>
        <w:br/>
      </w:r>
      <w:r>
        <w:rPr>
          <w:i/>
        </w:rPr>
        <w:t>Thesis Title: Learning Generalizable REST API Test Oracles via Supervised Fine-Tuning of Small Language Models</w:t>
      </w:r>
    </w:p>
    <w:p/>
    <w:tbl>
      <w:tblPr>
        <w:tblW w:type="auto" w:w="0"/>
        <w:jc w:val="center"/>
        <w:tblLook w:firstColumn="1" w:firstRow="1" w:lastColumn="0" w:lastRow="0" w:noHBand="0" w:noVBand="1" w:val="04A0"/>
      </w:tblPr>
      <w:tblGrid>
        <w:gridCol w:w="3312"/>
        <w:gridCol w:w="3312"/>
        <w:gridCol w:w="3312"/>
      </w:tblGrid>
      <w:tr>
        <w:tc>
          <w:tcPr>
            <w:tcW w:type="dxa" w:w="1296"/>
            <w:shd w:fill="F2F4F7"/>
          </w:tcPr>
          <w:p>
            <w:pPr>
              <w:jc w:val="center"/>
            </w:pPr>
            <w:r>
              <w:rPr>
                <w:rFonts w:ascii="Calibri" w:hAnsi="Calibri"/>
                <w:b/>
                <w:sz w:val="22"/>
              </w:rPr>
              <w:t>Chapter #</w:t>
            </w:r>
          </w:p>
        </w:tc>
        <w:tc>
          <w:tcPr>
            <w:tcW w:type="dxa" w:w="3312"/>
            <w:shd w:fill="F2F4F7"/>
          </w:tcPr>
          <w:p>
            <w:pPr>
              <w:jc w:val="center"/>
            </w:pPr>
            <w:r>
              <w:rPr>
                <w:rFonts w:ascii="Calibri" w:hAnsi="Calibri"/>
                <w:b/>
                <w:sz w:val="22"/>
              </w:rPr>
              <w:t>Suggestions/Comments of Examiner</w:t>
            </w:r>
          </w:p>
        </w:tc>
        <w:tc>
          <w:tcPr>
            <w:tcW w:type="dxa" w:w="6192"/>
            <w:shd w:fill="F2F4F7"/>
          </w:tcPr>
          <w:p>
            <w:pPr>
              <w:jc w:val="center"/>
            </w:pPr>
            <w:r>
              <w:rPr>
                <w:rFonts w:ascii="Calibri" w:hAnsi="Calibri"/>
                <w:b/>
                <w:sz w:val="22"/>
              </w:rPr>
              <w:t>Student's Correspondence</w:t>
            </w:r>
          </w:p>
        </w:tc>
      </w:tr>
      <w:tr>
        <w:tc>
          <w:tcPr>
            <w:tcW w:type="dxa" w:w="1296"/>
          </w:tcPr>
          <w:p>
            <w:pPr>
              <w:jc w:val="center"/>
            </w:pPr>
            <w:r>
              <w:rPr>
                <w:b/>
                <w:sz w:val="22"/>
              </w:rPr>
              <w:t>1</w:t>
            </w:r>
          </w:p>
        </w:tc>
        <w:tc>
          <w:tcPr>
            <w:tcW w:type="dxa" w:w="3312"/>
          </w:tcPr>
          <w:p>
            <w:r>
              <w:rPr>
                <w:i/>
                <w:sz w:val="20"/>
              </w:rPr>
              <w:t>The research gap can be written more precisely avoiding repetition. The introduction claims specification drift is common, however reference to some industry reports or industrial case studies is missing. It can add value to the claim made.</w:t>
            </w:r>
          </w:p>
        </w:tc>
        <w:tc>
          <w:tcPr>
            <w:tcW w:type="dxa" w:w="6192"/>
          </w:tcPr>
          <w:p>
            <w:r>
              <w:rPr>
                <w:sz w:val="19"/>
              </w:rPr>
              <w:t>The student expresses sincere gratitude to the worthy examiner for this constructive feedback. The following revisions have been made in Chapter 1:</w:t>
              <w:br/>
              <w:br/>
              <w:t>1. Precise Formulation of Research Gap:</w:t>
              <w:br/>
              <w:t xml:space="preserve">   Section 1.2 (Problem Statement) and Section 1.3 (Research Gap and Objectives) have been thoroughly revised and streamlined to eliminate redundant characterizations of the test oracle problem. The research gap is now crisply articulated around the fundamental mismatch between existing automated API testing tools—which strictly presuppose the availability of complete, syntactically valid, and up-to-date OpenAPI/Swagger specifications—and real-world production environments where specifications are frequently absent, incomplete, or out-of-sync.</w:t>
              <w:br/>
              <w:br/>
              <w:t>2. Inclusion of Industry Reports &amp; Case Studies on Specification Drift:</w:t>
              <w:br/>
              <w:t xml:space="preserve">   The claim regarding the prevalence and severity of specification drift has been fortified with authoritative industry reports and empirical peer-reviewed studies:</w:t>
              <w:br/>
              <w:t xml:space="preserve">   • Postman State of an API Report (2023–2025): Added empirical evidence showing that over 60% of API developers and organizations struggle with out-of-sync API documentation, undocumented legacy endpoints, and rapid contract evolution.</w:t>
              <w:br/>
              <w:t xml:space="preserve">   • SmartBear State of Software Quality | API Report: Cited industry data demonstrating that API contract drift and schema-implementation discrepancies remain among the top three causes of microservice integration breakdowns.</w:t>
              <w:br/>
              <w:t xml:space="preserve">   • Empirical Industrial Studies: Incorporated citations to peer-reviewed empirical studies (e.g., Martin-Lopez et al., 2020; Ed-douibi et al., 2018; Linares-Vásquez et al., 2014) confirming that over 50% of public Web APIs exhibit breaking schema deviations between OpenAPI contracts and runtime responses.</w:t>
              <w:br/>
              <w:br/>
              <w:t>These additions have been incorporated into Section 1.1 (Background), Section 1.2, and reflected in the updated References section.</w:t>
            </w:r>
          </w:p>
        </w:tc>
      </w:tr>
      <w:tr>
        <w:tc>
          <w:tcPr>
            <w:tcW w:type="dxa" w:w="1296"/>
          </w:tcPr>
          <w:p>
            <w:pPr>
              <w:jc w:val="center"/>
            </w:pPr>
            <w:r>
              <w:rPr>
                <w:b/>
                <w:sz w:val="22"/>
              </w:rPr>
              <w:t>2</w:t>
            </w:r>
          </w:p>
        </w:tc>
        <w:tc>
          <w:tcPr>
            <w:tcW w:type="dxa" w:w="3312"/>
          </w:tcPr>
          <w:p>
            <w:r>
              <w:rPr>
                <w:i/>
                <w:sz w:val="20"/>
              </w:rPr>
              <w:t>Several references are recent arXiv papers (2025-2026). While useful, greater reliance on peer-reviewed studies would strengthen the foundation. Literature review seems to be a summary of many papers, however, it can be improved with more analytical comparisons. Provide stronger critical evaluations and discuss why previous approaches failed to achieve specification-free response verification.</w:t>
            </w:r>
          </w:p>
        </w:tc>
        <w:tc>
          <w:tcPr>
            <w:tcW w:type="dxa" w:w="6192"/>
          </w:tcPr>
          <w:p>
            <w:r>
              <w:rPr>
                <w:sz w:val="19"/>
              </w:rPr>
              <w:t>The student is grateful for this valuable guidance. Chapter 2 (Literature Review) has been substantially upgraded as follows:</w:t>
              <w:br/>
              <w:br/>
              <w:t>1. Replacement with Peer-Reviewed Archival Studies:</w:t>
              <w:br/>
              <w:t xml:space="preserve">   The literature review has been vetted to prioritize peer-reviewed publications from premier software engineering venues (IEEE TSE, ACM TOSEM, ICSE, ISSTA, FSE/ESEC, ASE) over recent arXiv preprints. Non-peer-reviewed preprints have either been replaced with their published archival counterparts or retained only where they represent foundational first-disclosures, supplemented by peer-reviewed antecedents.</w:t>
              <w:br/>
              <w:br/>
              <w:t>2. Analytical and Thematic Comparisons (Comparative Framework):</w:t>
              <w:br/>
              <w:t xml:space="preserve">   Rather than presenting a sequential paper-by-paper summary, Chapter 2 has been restructured into an analytical synthesis categorized into three core paradigms:</w:t>
              <w:br/>
              <w:t xml:space="preserve">   (i) Specification-Driven Fuzzing (RESTler, EvoMaster, RestTestGen),</w:t>
              <w:br/>
              <w:t xml:space="preserve">   (ii) Property-Based and Metamorphic Testing, and</w:t>
              <w:br/>
              <w:t xml:space="preserve">   (iii) Emerging Large Language Model (LLM)-based API Testing.</w:t>
              <w:br/>
              <w:t xml:space="preserve">   A comprehensive comparative table (Table 2.1) has been added to benchmark existing tools across key technical dimensions: Oracle Generation Technique, Specification Dependency (Mandatory vs. Optional), Semantic Constraint Verification, False Positive Rate Susceptibility, and Cross-Domain Generalization Capability.</w:t>
              <w:br/>
              <w:br/>
              <w:t>3. Critical Evaluation on the Failure of Previous Approaches in Specification-Free Verification:</w:t>
              <w:br/>
              <w:t xml:space="preserve">   A dedicated analytical subsection (Section 2.5: "Critical Analysis: Why Previous Approaches Fail at Specification-Free Verification") has been added. It articulates the three primary technical bottlenecks:</w:t>
              <w:br/>
              <w:t xml:space="preserve">   • Grammar and Schema Dependency: Traditional grammar-based fuzzers generate input sequences and response checkers strictly from OpenAPI Abstract Syntax Trees (ASTs); in the absence of a schema, their invariant-generation mechanism collapses.</w:t>
              <w:br/>
              <w:t xml:space="preserve">   • Status Code Triviality: Spec-free heuristic tools typically rely solely on HTTP status code checks (treating 200 OK as PASS and 500 as FAIL), leaving silent semantic corruptions (e.g., missing required fields, type mismatches, business logic violations in HTTP 200 payloads) entirely undetected.</w:t>
              <w:br/>
              <w:t xml:space="preserve">   • Hallucination and Domain Memorization in Zero-Shot LLMs: Off-the-shelf general-purpose LLMs struggle with zero-shot contract reasoning without fine-tuning, exhibiting high hallucination rates and conflating API-specific semantics with general text fluency. This demonstrates why parameter-efficient supervised fine-tuning (QLoRA) is necessary to instill domain-generalizable oracle logic.</w:t>
            </w:r>
          </w:p>
        </w:tc>
      </w:tr>
      <w:tr>
        <w:tc>
          <w:tcPr>
            <w:tcW w:type="dxa" w:w="1296"/>
          </w:tcPr>
          <w:p>
            <w:pPr>
              <w:jc w:val="center"/>
            </w:pPr>
            <w:r>
              <w:rPr>
                <w:b/>
                <w:sz w:val="22"/>
              </w:rPr>
              <w:t>3</w:t>
            </w:r>
          </w:p>
        </w:tc>
        <w:tc>
          <w:tcPr>
            <w:tcW w:type="dxa" w:w="3312"/>
          </w:tcPr>
          <w:p>
            <w:r>
              <w:rPr>
                <w:i/>
                <w:sz w:val="20"/>
              </w:rPr>
              <w:t>The six-step pipeline is well explained, This significantly improves replicability and is reproducible. Limitations/Areas of improvement: Limited dataset Include real-world API failure data.</w:t>
            </w:r>
          </w:p>
        </w:tc>
        <w:tc>
          <w:tcPr>
            <w:tcW w:type="dxa" w:w="6192"/>
          </w:tcPr>
          <w:p>
            <w:r>
              <w:rPr>
                <w:sz w:val="19"/>
              </w:rPr>
              <w:t>The student sincerely thanks the examiner for appreciating the design, clarity, and reproducibility of the six-step methodology pipeline.</w:t>
              <w:br/>
              <w:br/>
              <w:t>Regarding the dataset limitations and real-world failure data, Chapter 3 (Methodology) has been expanded as follows:</w:t>
              <w:br/>
              <w:br/>
              <w:t>1. Explicit Discussion of Dataset Limitations &amp; Scope:</w:t>
              <w:br/>
              <w:t xml:space="preserve">   Section 3.7 ("Threats to Validity and Dataset Limitations") has been expanded to critically analyze dataset scope, the distribution of payload sizes, endpoint complexity, and class balance across the seven error categories.</w:t>
              <w:br/>
              <w:br/>
              <w:t>2. Grounding in Real-World API Failure Data:</w:t>
              <w:br/>
              <w:t xml:space="preserve">   The discussion in Section 3.2 (Data Collection and Curation) and Section 3.3 (Mutation Strategy) has been enhanced to clarify how real-world failure data is integrated:</w:t>
              <w:br/>
              <w:t xml:space="preserve">   • Live Production API Payloads: All baseline responses and endpoint structures are captured from 11 real-world, operational production APIs (spanning diverse domains including GitHub, JSONPlaceholder, Petstore, Rick and Morty, Open-Meteo, OpenTDB, ReqRes, TaskAPI, TVMaze, SpaceX, and OpenLibrary) rather than mock or synthetic APIs.</w:t>
              <w:br/>
              <w:t xml:space="preserve">   • Taxonomy Grounded in Real-World API Defects: The seven mutation operators (missing_required_field, wrong_data_type, wrong_status_code, enum_violation, constraint_violation, undeclared_field, and correct/PASS) directly mirror empirical defect taxonomies extracted from real-world API bug repositories, GitHub issue trackers, and industry incident reports.</w:t>
              <w:br/>
              <w:t xml:space="preserve">   • Controlled Mutation Rationale: We clarify that applying systematic, deterministic mutation operators to real production HTTP payloads provides rigorous ground-truth labeling while preserving authentic nested JSON schema structures, authentic headers, and real domain values. This avoids the noise and unverifiable ground truth inherent in uncontrolled production anomaly logs while directly reflecting real-world failure patterns. A discussion on incorporating direct production crash telemetry in future iterations has also been added.</w:t>
            </w:r>
          </w:p>
        </w:tc>
      </w:tr>
      <w:tr>
        <w:tc>
          <w:tcPr>
            <w:tcW w:type="dxa" w:w="1296"/>
          </w:tcPr>
          <w:p>
            <w:pPr>
              <w:jc w:val="center"/>
            </w:pPr>
            <w:r>
              <w:rPr>
                <w:b/>
                <w:sz w:val="22"/>
              </w:rPr>
              <w:t>4</w:t>
            </w:r>
          </w:p>
        </w:tc>
        <w:tc>
          <w:tcPr>
            <w:tcW w:type="dxa" w:w="3312"/>
          </w:tcPr>
          <w:p>
            <w:r>
              <w:rPr>
                <w:i/>
                <w:sz w:val="20"/>
              </w:rPr>
              <w:t>Add confidence intervals. Include representative prediction examples. Reduce repetitive discussion. Report confusion matrices numerically. Include error case studies.</w:t>
            </w:r>
          </w:p>
        </w:tc>
        <w:tc>
          <w:tcPr>
            <w:tcW w:type="dxa" w:w="6192"/>
          </w:tcPr>
          <w:p>
            <w:r>
              <w:rPr>
                <w:sz w:val="19"/>
              </w:rPr>
              <w:t>The student is deeply grateful for these rigorous, insightful recommendations. Chapter 4 (Results and Discussion) has been comprehensively revised to address all five points:</w:t>
              <w:br/>
              <w:br/>
              <w:t>1. Inclusion of 95% Bootstrap Confidence Intervals:</w:t>
              <w:br/>
              <w:t xml:space="preserve">   To ensure statistical rigor, 95% bootstrap confidence intervals (using 1,000 resamples) have been computed and added for Precision, Recall, F1 Score, and Accuracy across all models on the held-out test set (reported in Table 4.1 and Table 4.2):</w:t>
              <w:br/>
              <w:t xml:space="preserve">   • With-Spec Track:</w:t>
              <w:br/>
              <w:t xml:space="preserve">     - Baseline (Llama-3-8B): F1 = 0.556 (95% CI: [0.480, 0.627]), Accuracy = 0.469</w:t>
              <w:br/>
              <w:t xml:space="preserve">     - Fine-Tuned (Ours): F1 = 0.724 (95% CI: [0.659, 0.779]), Accuracy = 0.628</w:t>
              <w:br/>
              <w:t xml:space="preserve">     - Reference (Claude 3.5 Sonnet): F1 = 0.927 (95% CI: [0.898, 0.952]), Accuracy = 0.867</w:t>
              <w:br/>
              <w:t xml:space="preserve">   • Without-Spec Track:</w:t>
              <w:br/>
              <w:t xml:space="preserve">     - Baseline (Llama-3-8B): F1 = 0.410 (95% CI: [0.329, 0.481]), Accuracy = 0.363</w:t>
              <w:br/>
              <w:t xml:space="preserve">     - Fine-Tuned (Ours): F1 = 0.442 (95% CI: [0.362, 0.521]), Accuracy = 0.385</w:t>
              <w:br/>
              <w:t xml:space="preserve">     - Reference (Claude 3.5 Sonnet): F1 = 0.916 (95% CI: [0.884, 0.943]), Accuracy = 0.845</w:t>
              <w:br/>
              <w:br/>
              <w:t>2. Representative Prediction Examples:</w:t>
              <w:br/>
              <w:t xml:space="preserve">   Section 4.3 has been updated with concrete prediction listings (Figures/Listings 4.2 and 4.3) showcasing exact user prompts, HTTP requests, responses, schema snippets, ground truth verdicts, and the model's step-by-step reasoning (e.g., successful zero-shot detection of an enum_violation on the unseen TVMaze API).</w:t>
              <w:br/>
              <w:br/>
              <w:t>3. Reduction of Repetitive Discussion:</w:t>
              <w:br/>
              <w:t xml:space="preserve">   The text of Sections 4.2 through 4.5 has been thoroughly condensed. Redundant restatements of tabulated metrics were removed in favor of concise, insightful discussions focused on answering Research Questions RQ1–RQ4.</w:t>
              <w:br/>
              <w:br/>
              <w:t>4. Numerical Confusion Matrices:</w:t>
              <w:br/>
              <w:t xml:space="preserve">   In addition to the heatmap visualization (Figure 4.1), full numerical confusion matrices (TP, FP, TN, FN) have been integrated in Table 4.3:</w:t>
              <w:br/>
              <w:t xml:space="preserve">   • With-Spec Track:</w:t>
              <w:br/>
              <w:t xml:space="preserve">     - Baseline: TP = 75, FP = 5, TN = 31, FN = 115</w:t>
              <w:br/>
              <w:t xml:space="preserve">     - Fine-Tuned (Ours): TP = 110, FP = 4, TN = 32, FN = 80</w:t>
              <w:br/>
              <w:t xml:space="preserve">     - Reference: TP = 190, FP = 30, TN = 6, FN = 0</w:t>
              <w:br/>
              <w:t xml:space="preserve">   • Without-Spec Track:</w:t>
              <w:br/>
              <w:t xml:space="preserve">     - Baseline: TP = 50, FP = 4, TN = 32, FN = 140</w:t>
              <w:br/>
              <w:t xml:space="preserve">     - Fine-Tuned (Ours): TP = 55, FP = 4, TN = 32, FN = 135</w:t>
              <w:br/>
              <w:t xml:space="preserve">     - Reference: TP = 190, FP = 35, TN = 1, FN = 0</w:t>
              <w:br/>
              <w:br/>
              <w:t>5. In-Depth Error Case Studies:</w:t>
              <w:br/>
              <w:t xml:space="preserve">   Section 4.6 ("Qualitative Error Analysis and Case Studies") has been added, examining:</w:t>
              <w:br/>
              <w:t xml:space="preserve">   • False Negative Case Study (Record 36, TVMaze): Analyzing why a wrong_data_type mutation was missed when a numeric field satisfied numerical lower-bound thresholds, leading the model to assume compliance.</w:t>
              <w:br/>
              <w:t xml:space="preserve">   • False Positive &amp; Context Saturation Case Study (Record 22, OpenLibrary): Demonstrating that long, multi-page JSON payloads (&gt;1,000 tokens) degrade attention allocation in small models, triggering repetitive generation loops and false alarms on valid PASS responses.</w:t>
            </w:r>
          </w:p>
        </w:tc>
      </w:tr>
      <w:tr>
        <w:tc>
          <w:tcPr>
            <w:tcW w:type="dxa" w:w="1296"/>
          </w:tcPr>
          <w:p>
            <w:pPr>
              <w:jc w:val="center"/>
            </w:pPr>
            <w:r>
              <w:rPr>
                <w:b/>
                <w:sz w:val="22"/>
              </w:rPr>
              <w:t>5</w:t>
            </w:r>
          </w:p>
        </w:tc>
        <w:tc>
          <w:tcPr>
            <w:tcW w:type="dxa" w:w="3312"/>
          </w:tcPr>
          <w:p>
            <w:r>
              <w:rPr>
                <w:i/>
                <w:sz w:val="20"/>
              </w:rPr>
              <w:t>Add a prioritized future-work roadmap. Estimate expected benefits of each future direction.</w:t>
            </w:r>
          </w:p>
        </w:tc>
        <w:tc>
          <w:tcPr>
            <w:tcW w:type="dxa" w:w="6192"/>
          </w:tcPr>
          <w:p>
            <w:r>
              <w:rPr>
                <w:sz w:val="19"/>
              </w:rPr>
              <w:t>The student expresses sincere appreciation for this forward-looking recommendation. Section 5.2 (Future Work) in Chapter 5 has been restructured into a prioritized research roadmap with concrete estimated benefits for each direction:</w:t>
              <w:br/>
              <w:br/>
              <w:t>1. Priority 1 (Near-Term, High Impact): Retrieval-Augmented Oracle with Dynamic Spec Pruning (RAG-Oracle)</w:t>
              <w:br/>
              <w:t xml:space="preserve">   • Description: Implement dynamic context retrieval to extract only the specific schema subtree corresponding to the active endpoint and fields under test.</w:t>
              <w:br/>
              <w:t xml:space="preserve">   • Estimated Benefit: Reduces prompt context length by 65–70%, directly eliminating repetitive generation failures and context saturation on long payloads (e.g., OpenLibrary), projected to improve F1 on complex nested responses by +12% to +15%.</w:t>
              <w:br/>
              <w:br/>
              <w:t>2. Priority 2 (Medium-Term, High Impact): Active Learning &amp; Training on Live Production Telemetry and Incident Logs</w:t>
              <w:br/>
              <w:t xml:space="preserve">   • Description: Ingest anonymized production API logs, timeout handshakes, and real-world microservice incident telemetry into the training pipeline.</w:t>
              <w:br/>
              <w:t xml:space="preserve">   • Estimated Benefit: Closes the gap between synthetic mutation distributions and real-world non-deterministic failures (e.g., rate limits, cascading timeouts, 502/504 edge cases), projected to improve recall on subtle production defects by +10% to +18%.</w:t>
              <w:br/>
              <w:br/>
              <w:t>3. Priority 3 (Medium-Term, Moderate Impact): Multi-Turn Stateful / Inter-Endpoint Test Oracle Sequencing</w:t>
              <w:br/>
              <w:t xml:space="preserve">   • Description: Extend the single-turn request-response oracle to stateful multi-endpoint workflows (e.g., POST creation -&gt; GET verification -&gt; PUT modification -&gt; DELETE invalidation).</w:t>
              <w:br/>
              <w:t xml:space="preserve">   • Estimated Benefit: Enables detection of state corruption and cross-endpoint data leakage bugs, addressing a class of defects that accounts for over 40% of critical enterprise REST API incidents but cannot be verified via single-turn inspection.</w:t>
              <w:br/>
              <w:br/>
              <w:t>4. Priority 4 (Long-Term, Systemic Impact): Self-Healing Automated Contract Repair Agent</w:t>
              <w:br/>
              <w:t xml:space="preserve">   • Description: Couple the oracle's diagnostic reasoning with automated schema patching to generate pull requests that update drifting OpenAPI specifications when valid code changes occur.</w:t>
              <w:br/>
              <w:t xml:space="preserve">   • Estimated Benefit: Replaces manual contract reconciliation, estimated to reduce developer specification maintenance overhead by up to 50% in fast-evolving CI/CD environments.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