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p>
      <w:pPr>
        <w:pStyle w:val="Normal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因重大工程建设需要移植的</w:t>
      </w:r>
    </w:p>
    <w:p>
      <w:pPr>
        <w:pStyle w:val="Normal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提交工程立项文件及工程实施相关背景资料、移植原因、移植方案及移植后管理措施说明：</w:t>
      </w:r>
    </w:p>
    <w:p>
      <w:pPr>
        <w:pStyle w:val="Normal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</w:t>
      </w:r>
      <w:r>
        <w:rPr>
          <w:rFonts w:hint="eastAsia"/>
          <w:sz w:val="28"/>
          <w:szCs w:val="28"/>
        </w:rPr>
        <w:t>移植方案中要明确技术保障、资金保障等；</w:t>
      </w:r>
    </w:p>
    <w:p>
      <w:pPr>
        <w:pStyle w:val="Normal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</w:t>
      </w:r>
      <w:r>
        <w:rPr>
          <w:rFonts w:hint="eastAsia"/>
          <w:sz w:val="28"/>
          <w:szCs w:val="28"/>
        </w:rPr>
        <w:t>采集作业办法应包括申请采集的种类、数量、地点、方法及采集人员技术与组织保障措施等；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2019-10-18T11:25:00Z</dcterms:created>
  <dc:creator>Administrator</dc:creator>
  <dc:description/>
  <dc:language>zh-CN</dc:language>
  <cp:lastModifiedBy>锦衣卫</cp:lastModifiedBy>
  <dcterms:modified xsi:type="dcterms:W3CDTF">2019-10-18T11:43:38Z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