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end="0"/>
        <w:jc w:val="center"/>
        <w:textAlignment w:val="auto"/>
        <w:rPr>
          <w:rFonts w:ascii="方正小标宋简体" w:hAnsi="方正小标宋简体" w:eastAsia="方正小标宋简体" w:cs="方正小标宋简体" w:hint="eastAsia"/>
          <w:i w:val="false"/>
          <w:iCs w:val="false"/>
          <w:caps w:val="false"/>
          <w:smallCaps w:val="false"/>
          <w:color w:val="444444"/>
          <w:spacing w:val="0"/>
          <w:sz w:val="44"/>
          <w:szCs w:val="44"/>
          <w:shd w:fill="FFFFFF" w:val="clear"/>
        </w:rPr>
      </w:pPr>
      <w:r>
        <w:rPr>
          <w:rFonts w:ascii="方正小标宋简体" w:hAnsi="方正小标宋简体" w:cs="方正小标宋简体" w:hint="eastAsia" w:eastAsia="方正小标宋简体"/>
          <w:i w:val="false"/>
          <w:iCs w:val="false"/>
          <w:caps w:val="false"/>
          <w:smallCaps w:val="false"/>
          <w:color w:val="444444"/>
          <w:spacing w:val="0"/>
          <w:sz w:val="44"/>
          <w:szCs w:val="44"/>
          <w:shd w:fill="FFFFFF" w:val="clear"/>
        </w:rPr>
        <w:t>主办方、承办方、协办方等体育赛事活动组织者用以约定各方权利义务和责任分工的书面协议</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i w:val="false"/>
          <w:iCs w:val="false"/>
          <w:caps w:val="false"/>
          <w:smallCaps w:val="false"/>
          <w:color w:val="444444"/>
          <w:spacing w:val="0"/>
          <w:sz w:val="31"/>
          <w:szCs w:val="31"/>
          <w:shd w:fill="FFFFFF" w:val="clear"/>
        </w:rPr>
      </w:pPr>
      <w:r>
        <w:rPr>
          <w:rFonts w:eastAsia="仿宋_GB2312" w:cs="仿宋_GB2312" w:hint="eastAsia" w:ascii="仿宋_GB2312" w:hAnsi="仿宋_GB2312"/>
          <w:i w:val="false"/>
          <w:iCs w:val="false"/>
          <w:caps w:val="false"/>
          <w:smallCaps w:val="false"/>
          <w:color w:val="444444"/>
          <w:spacing w:val="0"/>
          <w:sz w:val="31"/>
          <w:szCs w:val="31"/>
          <w:shd w:fill="FFFFFF" w:val="clear"/>
        </w:rPr>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fangsong;C059" w:hAnsi="fangsong;C059" w:eastAsia="fangsong;C059" w:cs="fangsong;C059"/>
          <w:i w:val="false"/>
          <w:iCs w:val="false"/>
          <w:caps w:val="false"/>
          <w:smallCaps w:val="false"/>
          <w:color w:val="444444"/>
          <w:spacing w:val="0"/>
          <w:sz w:val="32"/>
          <w:szCs w:val="32"/>
        </w:rPr>
      </w:pPr>
      <w:r>
        <w:rPr>
          <w:rFonts w:ascii="仿宋_GB2312" w:hAnsi="仿宋_GB2312" w:cs="仿宋_GB2312" w:eastAsia="仿宋_GB2312"/>
          <w:i w:val="false"/>
          <w:iCs w:val="false"/>
          <w:caps w:val="false"/>
          <w:smallCaps w:val="false"/>
          <w:color w:val="444444"/>
          <w:spacing w:val="0"/>
          <w:sz w:val="31"/>
          <w:szCs w:val="31"/>
          <w:shd w:fill="FFFFFF" w:val="clear"/>
        </w:rPr>
        <w:t>体育赛事活动主办方负责对体育赛事活动的全面组织，提出体育赛事活动组织方案（包括赛事活动名称、规模、竞赛规程、经费来源等），发布赛事文件，向参赛各方告知“熔断”机制启动条件、程序、处置措施、法律后果等内容，任命技术代表、纠纷解决委员会成员、总裁判长及委派主要裁判；与承办方共同建立组委会等组织机制，根据需要组建竞赛、安全、新闻、医疗、场地保障等专门委员会或工作机构，明确举办体育赛事活动的责任分工，协同合作。</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承办方应当根据体育赛事活动组织方案做好体育赛事活动各项保障工作，确保体育赛事活动的安全；召开赛事活动风险研判分析会议，制定风险防范及应急处置预案和安全工作方案等保障措施，并督促落实。主办方直接承担体育赛事活动筹备和组织工作的，履行承办方责任。</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i w:val="false"/>
          <w:iCs w:val="false"/>
          <w:caps w:val="false"/>
          <w:smallCaps w:val="false"/>
          <w:color w:val="444444"/>
          <w:spacing w:val="0"/>
          <w:sz w:val="32"/>
          <w:szCs w:val="32"/>
          <w:shd w:fill="FFFFFF" w:val="clear"/>
        </w:rPr>
      </w:pPr>
      <w:r>
        <w:rPr>
          <w:rFonts w:ascii="仿宋_GB2312" w:hAnsi="仿宋_GB2312" w:cs="仿宋_GB2312" w:hint="eastAsia" w:eastAsia="仿宋_GB2312"/>
          <w:i w:val="false"/>
          <w:iCs w:val="false"/>
          <w:caps w:val="false"/>
          <w:smallCaps w:val="false"/>
          <w:color w:val="444444"/>
          <w:spacing w:val="0"/>
          <w:sz w:val="32"/>
          <w:szCs w:val="32"/>
          <w:shd w:fill="FFFFFF" w:val="clear"/>
        </w:rPr>
        <w:t>协办方应当确保其提供的产品、设施或服务的质量和安全。</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i w:val="false"/>
          <w:iCs w:val="false"/>
          <w:caps w:val="false"/>
          <w:smallCaps w:val="false"/>
          <w:color w:val="444444"/>
          <w:spacing w:val="0"/>
          <w:sz w:val="32"/>
          <w:szCs w:val="32"/>
          <w:shd w:fill="FFFFFF" w:val="clear"/>
        </w:rPr>
      </w:pPr>
      <w:r>
        <w:rPr>
          <w:rFonts w:ascii="仿宋_GB2312" w:hAnsi="仿宋_GB2312" w:cs="仿宋_GB2312" w:hint="eastAsia" w:eastAsia="仿宋_GB2312"/>
          <w:i w:val="false"/>
          <w:iCs w:val="false"/>
          <w:caps w:val="false"/>
          <w:smallCaps w:val="false"/>
          <w:color w:val="444444"/>
          <w:spacing w:val="0"/>
          <w:sz w:val="32"/>
          <w:szCs w:val="32"/>
          <w:shd w:fill="FFFFFF" w:val="clear"/>
        </w:rPr>
        <w:t>场地空间、器材提供方或管理者应当尽到安全保障义务，遇有突发情况在力所能及的范围内协助承担应急救援等救助任务。</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i w:val="false"/>
          <w:iCs w:val="false"/>
          <w:caps w:val="false"/>
          <w:smallCaps w:val="false"/>
          <w:color w:val="444444"/>
          <w:spacing w:val="0"/>
          <w:sz w:val="32"/>
          <w:szCs w:val="32"/>
          <w:shd w:fill="FFFFFF" w:val="clear"/>
        </w:rPr>
      </w:pPr>
      <w:r>
        <w:rPr>
          <w:rFonts w:ascii="仿宋_GB2312" w:hAnsi="仿宋_GB2312" w:cs="仿宋_GB2312" w:hint="eastAsia" w:eastAsia="仿宋_GB2312"/>
          <w:i w:val="false"/>
          <w:iCs w:val="false"/>
          <w:caps w:val="false"/>
          <w:smallCaps w:val="false"/>
          <w:color w:val="444444"/>
          <w:spacing w:val="0"/>
          <w:sz w:val="32"/>
          <w:szCs w:val="32"/>
          <w:shd w:fill="FFFFFF" w:val="clear"/>
        </w:rPr>
        <w:t>地方体育行政部门应当建立健全体育赛事活动“熔断”机制，提升体育赛事活动突发事件的应对能力。</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altName w:val="Times New Roman"/>
    <w:charset w:val="00" w:characterSet="windows-1252"/>
    <w:family w:val="swiss"/>
    <w:pitch w:val="default"/>
  </w:font>
  <w:font w:name="Liberation Sans">
    <w:altName w:val="Arial"/>
    <w:charset w:val="86"/>
    <w:family w:val="swiss"/>
    <w:pitch w:val="variable"/>
  </w:font>
  <w:font w:name="方正小标宋简体">
    <w:charset w:val="86"/>
    <w:family w:val="auto"/>
    <w:pitch w:val="default"/>
  </w:font>
  <w:font w:name="仿宋_GB2312">
    <w:charset w:val="86"/>
    <w:family w:val="auto"/>
    <w:pitch w:val="default"/>
  </w:font>
  <w:font w:name="fangsong">
    <w:altName w:val="C059"/>
    <w:charset w:val="00" w:characterSet="windows-1252"/>
    <w:family w:val="auto"/>
    <w:pitch w:val="default"/>
  </w:font>
</w:fonts>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Times New Roman" w:hAnsi="Calibri;Times New Roman" w:eastAsia="宋体;方正书宋_GBK" w:cs="Times New Roman"/>
      <w:color w:val="auto"/>
      <w:kern w:val="2"/>
      <w:sz w:val="21"/>
      <w:szCs w:val="24"/>
      <w:lang w:bidi="ar-SA" w:val="en-US" w:eastAsia="zh-CN"/>
    </w:rPr>
  </w:style>
  <w:style w:type="character" w:styleId="Style14">
    <w:name w:val="默认段落字体"/>
    <w:qFormat/>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普通(网站)"/>
    <w:basedOn w:val="Normal"/>
    <w:qFormat/>
    <w:pPr>
      <w:spacing w:before="100" w:after="100"/>
      <w:ind w:hanging="0" w:start="0" w:end="0"/>
      <w:jc w:val="start"/>
    </w:pPr>
    <w:rPr>
      <w:kern w:val="0"/>
      <w:sz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2026-06-13T08:10:00Z</dcterms:created>
  <dc:creator>张宣</dc:creator>
  <dc:description/>
  <dc:language>zh-CN</dc:language>
  <cp:lastModifiedBy>张宣</cp:lastModifiedBy>
  <dcterms:modified xsi:type="dcterms:W3CDTF">2026-06-13T00:14:42Z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EA241CB5C93C4C3CF6BE2B6AC25FBC22_41</vt:lpwstr>
  </property>
  <property fmtid="{D5CDD505-2E9C-101B-9397-08002B2CF9AE}" pid="3" name="KSOProductBuildVer">
    <vt:lpwstr>2052-12.8.2.1119</vt:lpwstr>
  </property>
</Properties>
</file>