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left="0" w:leftChars="0" w:firstLine="0" w:firstLineChars="0"/>
        <w:jc w:val="center"/>
        <w:textAlignment w:val="auto"/>
        <w:rPr>
          <w:rFonts w:hint="eastAsia" w:ascii="Times New Roman" w:hAnsi="Times New Roman" w:eastAsia="方正小标宋简体" w:cs="Times New Roman"/>
          <w:b w:val="0"/>
          <w:bCs w:val="0"/>
          <w:color w:val="auto"/>
          <w:sz w:val="44"/>
          <w:szCs w:val="44"/>
          <w:highlight w:val="none"/>
          <w:lang w:val="en-US" w:eastAsia="zh-CN"/>
        </w:rPr>
      </w:pPr>
      <w:bookmarkStart w:id="0" w:name="_GoBack"/>
      <w:r>
        <w:rPr>
          <w:rFonts w:hint="eastAsia" w:ascii="Times New Roman" w:hAnsi="Times New Roman" w:eastAsia="方正小标宋简体" w:cs="Times New Roman"/>
          <w:b w:val="0"/>
          <w:bCs w:val="0"/>
          <w:color w:val="auto"/>
          <w:sz w:val="44"/>
          <w:szCs w:val="44"/>
          <w:highlight w:val="none"/>
          <w:lang w:val="en-US" w:eastAsia="zh-CN"/>
        </w:rPr>
        <w:t>高效办成退休“一件事”权益告知书</w:t>
      </w:r>
    </w:p>
    <w:p>
      <w:pPr>
        <w:pStyle w:val="5"/>
        <w:keepNext w:val="0"/>
        <w:keepLines w:val="0"/>
        <w:pageBreakBefore w:val="0"/>
        <w:widowControl w:val="0"/>
        <w:kinsoku/>
        <w:wordWrap/>
        <w:overflowPunct/>
        <w:topLinePunct w:val="0"/>
        <w:autoSpaceDE/>
        <w:autoSpaceDN/>
        <w:bidi w:val="0"/>
        <w:adjustRightInd/>
        <w:snapToGrid/>
        <w:spacing w:after="0" w:line="390" w:lineRule="exact"/>
        <w:ind w:left="0" w:leftChars="0" w:firstLine="600" w:firstLineChars="200"/>
        <w:jc w:val="left"/>
        <w:textAlignment w:val="auto"/>
        <w:rPr>
          <w:rFonts w:hint="eastAsia" w:ascii="黑体" w:hAnsi="黑体" w:eastAsia="黑体" w:cs="黑体"/>
          <w:b w:val="0"/>
          <w:bCs w:val="0"/>
          <w:color w:val="auto"/>
          <w:sz w:val="30"/>
          <w:szCs w:val="30"/>
          <w:highlight w:val="none"/>
          <w:lang w:val="en-US" w:eastAsia="zh-CN"/>
        </w:rPr>
      </w:pPr>
      <w:r>
        <w:rPr>
          <w:rFonts w:hint="eastAsia" w:ascii="黑体" w:hAnsi="黑体" w:eastAsia="黑体" w:cs="黑体"/>
          <w:b w:val="0"/>
          <w:bCs w:val="0"/>
          <w:color w:val="auto"/>
          <w:sz w:val="30"/>
          <w:szCs w:val="30"/>
          <w:highlight w:val="none"/>
          <w:lang w:val="en-US" w:eastAsia="zh-CN"/>
        </w:rPr>
        <w:t>一、法律条款</w:t>
      </w:r>
    </w:p>
    <w:p>
      <w:pPr>
        <w:keepNext w:val="0"/>
        <w:keepLines w:val="0"/>
        <w:pageBreakBefore w:val="0"/>
        <w:widowControl w:val="0"/>
        <w:kinsoku/>
        <w:wordWrap/>
        <w:overflowPunct w:val="0"/>
        <w:topLinePunct w:val="0"/>
        <w:autoSpaceDE/>
        <w:autoSpaceDN/>
        <w:bidi w:val="0"/>
        <w:adjustRightInd w:val="0"/>
        <w:snapToGrid w:val="0"/>
        <w:spacing w:line="390" w:lineRule="exact"/>
        <w:ind w:firstLine="600" w:firstLineChars="200"/>
        <w:jc w:val="left"/>
        <w:textAlignment w:val="auto"/>
        <w:rPr>
          <w:rFonts w:hint="eastAsia" w:ascii="仿宋_GB2312" w:hAnsi="仿宋_GB2312" w:eastAsia="仿宋_GB2312" w:cs="仿宋_GB2312"/>
          <w:b w:val="0"/>
          <w:bCs w:val="0"/>
          <w:color w:val="auto"/>
          <w:sz w:val="30"/>
          <w:szCs w:val="30"/>
          <w:highlight w:val="none"/>
        </w:rPr>
      </w:pPr>
      <w:r>
        <w:rPr>
          <w:rFonts w:hint="eastAsia" w:ascii="仿宋_GB2312" w:hAnsi="仿宋_GB2312" w:eastAsia="仿宋_GB2312" w:cs="仿宋_GB2312"/>
          <w:b w:val="0"/>
          <w:bCs w:val="0"/>
          <w:color w:val="auto"/>
          <w:sz w:val="30"/>
          <w:szCs w:val="30"/>
          <w:highlight w:val="none"/>
          <w:lang w:eastAsia="zh-CN"/>
        </w:rPr>
        <w:t>①</w:t>
      </w:r>
      <w:r>
        <w:rPr>
          <w:rFonts w:hint="eastAsia" w:ascii="仿宋_GB2312" w:hAnsi="仿宋_GB2312" w:eastAsia="仿宋_GB2312" w:cs="仿宋_GB2312"/>
          <w:b w:val="0"/>
          <w:bCs w:val="0"/>
          <w:color w:val="auto"/>
          <w:sz w:val="30"/>
          <w:szCs w:val="30"/>
          <w:highlight w:val="none"/>
        </w:rPr>
        <w:t>《中华人民共和国社会保险法》第八十八条规定“以欺诈、伪造证明材料或者其他手段骗取社会保险待遇的，由社会保险行政部门责令退回骗取的社会保险金，处骗取金额二倍以上五倍以下的罚款”。</w:t>
      </w:r>
    </w:p>
    <w:p>
      <w:pPr>
        <w:keepNext w:val="0"/>
        <w:keepLines w:val="0"/>
        <w:pageBreakBefore w:val="0"/>
        <w:widowControl w:val="0"/>
        <w:kinsoku/>
        <w:wordWrap/>
        <w:overflowPunct w:val="0"/>
        <w:topLinePunct w:val="0"/>
        <w:autoSpaceDE/>
        <w:autoSpaceDN/>
        <w:bidi w:val="0"/>
        <w:adjustRightInd w:val="0"/>
        <w:snapToGrid w:val="0"/>
        <w:spacing w:line="390" w:lineRule="exact"/>
        <w:ind w:firstLine="600" w:firstLineChars="200"/>
        <w:jc w:val="left"/>
        <w:textAlignment w:val="auto"/>
        <w:rPr>
          <w:rFonts w:hint="eastAsia" w:ascii="仿宋_GB2312" w:hAnsi="仿宋_GB2312" w:eastAsia="仿宋_GB2312" w:cs="仿宋_GB2312"/>
          <w:b w:val="0"/>
          <w:bCs w:val="0"/>
          <w:color w:val="auto"/>
          <w:sz w:val="30"/>
          <w:szCs w:val="30"/>
          <w:highlight w:val="none"/>
        </w:rPr>
      </w:pPr>
      <w:r>
        <w:rPr>
          <w:rFonts w:hint="eastAsia" w:ascii="仿宋_GB2312" w:hAnsi="仿宋_GB2312" w:eastAsia="仿宋_GB2312" w:cs="仿宋_GB2312"/>
          <w:b w:val="0"/>
          <w:bCs w:val="0"/>
          <w:color w:val="auto"/>
          <w:sz w:val="30"/>
          <w:szCs w:val="30"/>
          <w:highlight w:val="none"/>
          <w:lang w:eastAsia="zh-CN"/>
        </w:rPr>
        <w:t>②</w:t>
      </w:r>
      <w:r>
        <w:rPr>
          <w:rFonts w:hint="eastAsia" w:ascii="仿宋_GB2312" w:hAnsi="仿宋_GB2312" w:eastAsia="仿宋_GB2312" w:cs="仿宋_GB2312"/>
          <w:b w:val="0"/>
          <w:bCs w:val="0"/>
          <w:color w:val="auto"/>
          <w:sz w:val="30"/>
          <w:szCs w:val="30"/>
          <w:highlight w:val="none"/>
        </w:rPr>
        <w:t>全国人民代表大会常务委员会关于《中华人民共和国刑法》第二百六十六条的解释公告，明确了以欺诈、伪造证明材料或者其他手段骗取养老、医疗、工伤、失业、生育等社会保险金或者其他社会保障待遇的，属于刑法第二百六十六条规定的“诈骗公私财物，数额较大的处三年以下有期徒刑、拘役或者管制，并处或者单处罚金；数额巨大或有其他严重情节的，处三年以上十年以下有期徒刑，并处罚金。数额特别巨大或者有其他特别严重情节的，处十年以上有期徒刑或者无期徒刑，并处罚金或者没收财产”。</w:t>
      </w:r>
    </w:p>
    <w:p>
      <w:pPr>
        <w:pStyle w:val="5"/>
        <w:keepNext w:val="0"/>
        <w:keepLines w:val="0"/>
        <w:pageBreakBefore w:val="0"/>
        <w:widowControl w:val="0"/>
        <w:kinsoku/>
        <w:wordWrap/>
        <w:overflowPunct/>
        <w:topLinePunct w:val="0"/>
        <w:autoSpaceDE/>
        <w:autoSpaceDN/>
        <w:bidi w:val="0"/>
        <w:adjustRightInd/>
        <w:snapToGrid/>
        <w:spacing w:after="0" w:line="390" w:lineRule="exact"/>
        <w:ind w:left="0" w:leftChars="0" w:firstLine="600" w:firstLineChars="200"/>
        <w:jc w:val="left"/>
        <w:textAlignment w:val="auto"/>
        <w:rPr>
          <w:rFonts w:hint="eastAsia" w:ascii="仿宋_GB2312" w:hAnsi="仿宋_GB2312" w:eastAsia="仿宋_GB2312" w:cs="仿宋_GB2312"/>
          <w:b w:val="0"/>
          <w:bCs w:val="0"/>
          <w:color w:val="auto"/>
          <w:sz w:val="30"/>
          <w:szCs w:val="30"/>
          <w:highlight w:val="none"/>
        </w:rPr>
      </w:pPr>
      <w:r>
        <w:rPr>
          <w:rFonts w:hint="eastAsia" w:ascii="仿宋_GB2312" w:hAnsi="仿宋_GB2312" w:eastAsia="仿宋_GB2312" w:cs="仿宋_GB2312"/>
          <w:b w:val="0"/>
          <w:bCs w:val="0"/>
          <w:color w:val="auto"/>
          <w:sz w:val="30"/>
          <w:szCs w:val="30"/>
          <w:highlight w:val="none"/>
          <w:lang w:eastAsia="zh-CN"/>
        </w:rPr>
        <w:t>③</w:t>
      </w:r>
      <w:r>
        <w:rPr>
          <w:rFonts w:hint="eastAsia" w:ascii="仿宋_GB2312" w:hAnsi="仿宋_GB2312" w:eastAsia="仿宋_GB2312" w:cs="仿宋_GB2312"/>
          <w:b w:val="0"/>
          <w:bCs w:val="0"/>
          <w:color w:val="auto"/>
          <w:sz w:val="30"/>
          <w:szCs w:val="30"/>
          <w:highlight w:val="none"/>
        </w:rPr>
        <w:t>《最高人民法院、最高人民检察院关于办理诈骗刑事案件具体应用法律若干问题的解释》（法释〔2011〕7号）第一条规定</w:t>
      </w:r>
      <w:r>
        <w:rPr>
          <w:rFonts w:hint="eastAsia" w:ascii="仿宋_GB2312" w:hAnsi="仿宋_GB2312" w:eastAsia="仿宋_GB2312" w:cs="仿宋_GB2312"/>
          <w:b w:val="0"/>
          <w:bCs w:val="0"/>
          <w:color w:val="auto"/>
          <w:sz w:val="30"/>
          <w:szCs w:val="30"/>
          <w:highlight w:val="none"/>
          <w:lang w:eastAsia="zh-CN"/>
        </w:rPr>
        <w:t>：</w:t>
      </w:r>
      <w:r>
        <w:rPr>
          <w:rFonts w:hint="eastAsia" w:ascii="仿宋_GB2312" w:hAnsi="仿宋_GB2312" w:eastAsia="仿宋_GB2312" w:cs="仿宋_GB2312"/>
          <w:b w:val="0"/>
          <w:bCs w:val="0"/>
          <w:color w:val="auto"/>
          <w:sz w:val="30"/>
          <w:szCs w:val="30"/>
          <w:highlight w:val="none"/>
        </w:rPr>
        <w:t>诈骗公私财物价值三千元至一万元以上、三万元至十万元以上、五十万元以上的，应当分别认定为刑法第二百六十六条规定的“数额较大”“数额巨大”“数额特别巨大”。</w:t>
      </w:r>
    </w:p>
    <w:p>
      <w:pPr>
        <w:keepNext w:val="0"/>
        <w:keepLines w:val="0"/>
        <w:pageBreakBefore w:val="0"/>
        <w:widowControl w:val="0"/>
        <w:kinsoku/>
        <w:wordWrap/>
        <w:overflowPunct w:val="0"/>
        <w:topLinePunct w:val="0"/>
        <w:autoSpaceDE/>
        <w:autoSpaceDN/>
        <w:bidi w:val="0"/>
        <w:adjustRightInd w:val="0"/>
        <w:snapToGrid w:val="0"/>
        <w:spacing w:line="390" w:lineRule="exact"/>
        <w:ind w:left="0" w:leftChars="0" w:firstLine="576" w:firstLineChars="200"/>
        <w:jc w:val="left"/>
        <w:textAlignment w:val="auto"/>
        <w:rPr>
          <w:rFonts w:hint="eastAsia" w:ascii="黑体" w:hAnsi="黑体" w:eastAsia="黑体" w:cs="黑体"/>
          <w:b w:val="0"/>
          <w:bCs w:val="0"/>
          <w:color w:val="auto"/>
          <w:spacing w:val="-6"/>
          <w:sz w:val="30"/>
          <w:szCs w:val="30"/>
          <w:highlight w:val="none"/>
          <w:lang w:val="en-US" w:eastAsia="zh-CN"/>
        </w:rPr>
      </w:pPr>
      <w:r>
        <w:rPr>
          <w:rFonts w:hint="eastAsia" w:ascii="黑体" w:hAnsi="黑体" w:eastAsia="黑体" w:cs="黑体"/>
          <w:b w:val="0"/>
          <w:bCs w:val="0"/>
          <w:color w:val="auto"/>
          <w:spacing w:val="-6"/>
          <w:sz w:val="30"/>
          <w:szCs w:val="30"/>
          <w:highlight w:val="none"/>
          <w:lang w:val="en-US" w:eastAsia="zh-CN"/>
        </w:rPr>
        <w:t>二、相关政策</w:t>
      </w:r>
    </w:p>
    <w:p>
      <w:pPr>
        <w:keepNext w:val="0"/>
        <w:keepLines w:val="0"/>
        <w:pageBreakBefore w:val="0"/>
        <w:widowControl w:val="0"/>
        <w:kinsoku/>
        <w:wordWrap/>
        <w:overflowPunct w:val="0"/>
        <w:topLinePunct w:val="0"/>
        <w:autoSpaceDE/>
        <w:autoSpaceDN/>
        <w:bidi w:val="0"/>
        <w:adjustRightInd w:val="0"/>
        <w:snapToGrid w:val="0"/>
        <w:spacing w:line="390" w:lineRule="exact"/>
        <w:ind w:firstLine="602" w:firstLineChars="200"/>
        <w:jc w:val="left"/>
        <w:textAlignment w:val="auto"/>
        <w:rPr>
          <w:rFonts w:hint="eastAsia" w:ascii="仿宋_GB2312" w:hAnsi="仿宋_GB2312" w:eastAsia="仿宋_GB2312" w:cs="仿宋_GB2312"/>
          <w:b w:val="0"/>
          <w:bCs w:val="0"/>
          <w:color w:val="auto"/>
          <w:sz w:val="30"/>
          <w:szCs w:val="30"/>
          <w:highlight w:val="none"/>
          <w:lang w:val="en-US" w:eastAsia="zh-CN"/>
        </w:rPr>
      </w:pPr>
      <w:r>
        <w:rPr>
          <w:rFonts w:hint="eastAsia" w:ascii="仿宋_GB2312" w:hAnsi="仿宋_GB2312" w:eastAsia="仿宋_GB2312" w:cs="仿宋_GB2312"/>
          <w:b/>
          <w:bCs/>
          <w:color w:val="auto"/>
          <w:sz w:val="30"/>
          <w:szCs w:val="30"/>
          <w:highlight w:val="none"/>
          <w:lang w:val="en-US" w:eastAsia="zh-CN"/>
        </w:rPr>
        <w:t>企业职工基本养老保险：</w:t>
      </w:r>
      <w:r>
        <w:rPr>
          <w:rFonts w:hint="eastAsia" w:ascii="仿宋_GB2312" w:hAnsi="仿宋_GB2312" w:eastAsia="仿宋_GB2312" w:cs="仿宋_GB2312"/>
          <w:b w:val="0"/>
          <w:bCs w:val="0"/>
          <w:color w:val="auto"/>
          <w:sz w:val="30"/>
          <w:szCs w:val="30"/>
          <w:highlight w:val="none"/>
          <w:lang w:eastAsia="zh-CN"/>
        </w:rPr>
        <w:t>①</w:t>
      </w:r>
      <w:r>
        <w:rPr>
          <w:rFonts w:hint="eastAsia" w:ascii="仿宋_GB2312" w:hAnsi="仿宋_GB2312" w:eastAsia="仿宋_GB2312" w:cs="仿宋_GB2312"/>
          <w:b w:val="0"/>
          <w:bCs w:val="0"/>
          <w:color w:val="auto"/>
          <w:sz w:val="30"/>
          <w:szCs w:val="30"/>
          <w:highlight w:val="none"/>
        </w:rPr>
        <w:t>参保人员从事井下、高温、低温或者其他有害身体健康的工作，依照国家规定折算的工龄（最长不超过5年），只能作为计算过渡性养老金的缴费年限，不能作为计算基础养老金和调整基本养老金的工作年限。</w:t>
      </w:r>
      <w:r>
        <w:rPr>
          <w:rFonts w:hint="eastAsia" w:ascii="仿宋_GB2312" w:hAnsi="仿宋_GB2312" w:eastAsia="仿宋_GB2312" w:cs="仿宋_GB2312"/>
          <w:b w:val="0"/>
          <w:bCs w:val="0"/>
          <w:color w:val="auto"/>
          <w:sz w:val="30"/>
          <w:szCs w:val="30"/>
          <w:highlight w:val="none"/>
          <w:lang w:val="en-US" w:eastAsia="zh-CN"/>
        </w:rPr>
        <w:t>②出生日期认定实行居民身份证与参保人员档案相结合的办法，本人身份证与档案记载出生日期不一致的，以本人档案最先记载的出生日期为准。③从2025年1月1日起，男职工和原法定退休年龄为五十五周岁的女职工，法定退休年龄每四个月延迟一个月，分别逐步延迟至六十三周岁和五十八周岁；原法定退休年龄为五十周岁的女职工，法定退休年龄每二个月延迟一个月，逐步延迟至五十五周岁。</w:t>
      </w:r>
      <w:r>
        <w:rPr>
          <w:rFonts w:hint="eastAsia" w:ascii="仿宋_GB2312" w:hAnsi="仿宋_GB2312" w:eastAsia="仿宋_GB2312" w:cs="仿宋_GB2312"/>
          <w:color w:val="auto"/>
          <w:sz w:val="30"/>
          <w:szCs w:val="30"/>
        </w:rPr>
        <w:t>职工达到最低缴费年限，可以自愿选择弹性提前退休，提前时间最长不超过三年，且退休年龄不得低于女职工五十周岁、五十五周岁及男职工六十周岁的原法定退休年龄。职工达到法定退休年龄，所在单位与职工协商一致的，可以弹性延迟退休，延迟时间最长不超过三年。</w:t>
      </w:r>
      <w:r>
        <w:rPr>
          <w:rFonts w:hint="eastAsia" w:ascii="仿宋_GB2312" w:hAnsi="仿宋_GB2312" w:eastAsia="仿宋_GB2312" w:cs="仿宋_GB2312"/>
          <w:b w:val="0"/>
          <w:bCs w:val="0"/>
          <w:color w:val="auto"/>
          <w:sz w:val="30"/>
          <w:szCs w:val="30"/>
          <w:highlight w:val="none"/>
          <w:lang w:val="en-US" w:eastAsia="zh-CN"/>
        </w:rPr>
        <w:t>其中，身份为城镇个体工商户或灵活就业人员的女性参保人员，原退休年龄为55周岁。如参保后到企业工人岗位工作，与用工企业签订劳动合同且按企业职工身份缴费满两年及以上的，经本人申请可按企业女工人退休年龄确定。④参保人被判处拘役及以上刑罚或劳动教养的，服刑或劳动教养期间达到法定退休年龄的，暂缓办理退休手续，待服刑或劳动教养期满后按规定办理相关手续。</w:t>
      </w:r>
    </w:p>
    <w:p>
      <w:pPr>
        <w:keepNext w:val="0"/>
        <w:keepLines w:val="0"/>
        <w:pageBreakBefore w:val="0"/>
        <w:widowControl w:val="0"/>
        <w:kinsoku/>
        <w:wordWrap/>
        <w:overflowPunct w:val="0"/>
        <w:topLinePunct w:val="0"/>
        <w:autoSpaceDE/>
        <w:autoSpaceDN/>
        <w:bidi w:val="0"/>
        <w:adjustRightInd w:val="0"/>
        <w:snapToGrid w:val="0"/>
        <w:spacing w:line="390" w:lineRule="exact"/>
        <w:ind w:firstLine="602" w:firstLineChars="200"/>
        <w:jc w:val="left"/>
        <w:textAlignment w:val="auto"/>
        <w:rPr>
          <w:rFonts w:hint="eastAsia" w:ascii="仿宋_GB2312" w:hAnsi="仿宋_GB2312" w:eastAsia="仿宋_GB2312" w:cs="仿宋_GB2312"/>
          <w:b w:val="0"/>
          <w:bCs w:val="0"/>
          <w:color w:val="auto"/>
          <w:sz w:val="30"/>
          <w:szCs w:val="30"/>
          <w:highlight w:val="none"/>
          <w:lang w:val="en-US" w:eastAsia="zh-CN"/>
        </w:rPr>
      </w:pPr>
      <w:r>
        <w:rPr>
          <w:rFonts w:hint="eastAsia" w:ascii="仿宋_GB2312" w:hAnsi="仿宋_GB2312" w:eastAsia="仿宋_GB2312" w:cs="仿宋_GB2312"/>
          <w:b/>
          <w:bCs/>
          <w:color w:val="auto"/>
          <w:sz w:val="30"/>
          <w:szCs w:val="30"/>
          <w:highlight w:val="none"/>
          <w:lang w:val="en-US" w:eastAsia="zh-CN"/>
        </w:rPr>
        <w:t>职工基本医疗保险：</w:t>
      </w:r>
      <w:r>
        <w:rPr>
          <w:rFonts w:hint="eastAsia" w:ascii="仿宋_GB2312" w:hAnsi="仿宋_GB2312" w:eastAsia="仿宋_GB2312" w:cs="仿宋_GB2312"/>
          <w:b w:val="0"/>
          <w:bCs w:val="0"/>
          <w:color w:val="auto"/>
          <w:sz w:val="30"/>
          <w:szCs w:val="30"/>
          <w:highlight w:val="none"/>
          <w:lang w:val="en-US" w:eastAsia="zh-CN"/>
        </w:rPr>
        <w:t>退休职工个人账户由统筹基金按定额划入。2022年7月1日起按每月70元计入个人账户，今后按照国家有关规定调整。</w:t>
      </w:r>
    </w:p>
    <w:p>
      <w:pPr>
        <w:keepNext w:val="0"/>
        <w:keepLines w:val="0"/>
        <w:pageBreakBefore w:val="0"/>
        <w:widowControl w:val="0"/>
        <w:kinsoku/>
        <w:wordWrap/>
        <w:overflowPunct w:val="0"/>
        <w:topLinePunct w:val="0"/>
        <w:autoSpaceDE/>
        <w:autoSpaceDN/>
        <w:bidi w:val="0"/>
        <w:adjustRightInd w:val="0"/>
        <w:snapToGrid w:val="0"/>
        <w:spacing w:line="390" w:lineRule="exact"/>
        <w:ind w:firstLine="602" w:firstLineChars="200"/>
        <w:jc w:val="left"/>
        <w:textAlignment w:val="auto"/>
        <w:rPr>
          <w:rFonts w:hint="eastAsia" w:ascii="仿宋_GB2312" w:hAnsi="仿宋_GB2312" w:eastAsia="仿宋_GB2312" w:cs="仿宋_GB2312"/>
          <w:b w:val="0"/>
          <w:bCs w:val="0"/>
          <w:color w:val="auto"/>
          <w:sz w:val="30"/>
          <w:szCs w:val="30"/>
          <w:highlight w:val="none"/>
          <w:lang w:eastAsia="zh-CN"/>
        </w:rPr>
      </w:pPr>
      <w:r>
        <w:rPr>
          <w:rFonts w:hint="eastAsia" w:ascii="仿宋_GB2312" w:hAnsi="仿宋_GB2312" w:eastAsia="仿宋_GB2312" w:cs="仿宋_GB2312"/>
          <w:b/>
          <w:bCs/>
          <w:color w:val="auto"/>
          <w:sz w:val="30"/>
          <w:szCs w:val="30"/>
          <w:highlight w:val="none"/>
          <w:lang w:val="en-US" w:eastAsia="zh-CN"/>
        </w:rPr>
        <w:t>住房公积金：</w:t>
      </w:r>
      <w:r>
        <w:rPr>
          <w:rFonts w:hint="eastAsia" w:ascii="仿宋_GB2312" w:hAnsi="仿宋_GB2312" w:eastAsia="仿宋_GB2312" w:cs="仿宋_GB2312"/>
          <w:b w:val="0"/>
          <w:bCs w:val="0"/>
          <w:color w:val="auto"/>
          <w:sz w:val="30"/>
          <w:szCs w:val="30"/>
          <w:highlight w:val="none"/>
          <w:lang w:eastAsia="zh-CN"/>
        </w:rPr>
        <w:t>①职工住房公积金未欠缴（不包含退休当月的</w:t>
      </w:r>
      <w:r>
        <w:rPr>
          <w:rFonts w:hint="eastAsia" w:ascii="仿宋_GB2312" w:hAnsi="仿宋_GB2312" w:eastAsia="仿宋_GB2312" w:cs="仿宋_GB2312"/>
          <w:b w:val="0"/>
          <w:bCs w:val="0"/>
          <w:color w:val="auto"/>
          <w:sz w:val="30"/>
          <w:szCs w:val="30"/>
          <w:highlight w:val="none"/>
          <w:lang w:val="en-US" w:eastAsia="zh-CN"/>
        </w:rPr>
        <w:t>住房</w:t>
      </w:r>
      <w:r>
        <w:rPr>
          <w:rFonts w:hint="eastAsia" w:ascii="仿宋_GB2312" w:hAnsi="仿宋_GB2312" w:eastAsia="仿宋_GB2312" w:cs="仿宋_GB2312"/>
          <w:b w:val="0"/>
          <w:bCs w:val="0"/>
          <w:color w:val="auto"/>
          <w:sz w:val="30"/>
          <w:szCs w:val="30"/>
          <w:highlight w:val="none"/>
          <w:lang w:eastAsia="zh-CN"/>
        </w:rPr>
        <w:t>公积金是否缴纳）；②已完成职工退休审批；③职工家庭名下无逾期的住房公积金贷款；④无为他人住房公积金贷款提供保证担保、未被法院冻结或强制执行等情形的。</w:t>
      </w:r>
    </w:p>
    <w:p>
      <w:pPr>
        <w:pStyle w:val="5"/>
        <w:keepNext w:val="0"/>
        <w:keepLines w:val="0"/>
        <w:pageBreakBefore w:val="0"/>
        <w:widowControl w:val="0"/>
        <w:kinsoku/>
        <w:wordWrap/>
        <w:overflowPunct/>
        <w:topLinePunct w:val="0"/>
        <w:autoSpaceDE/>
        <w:autoSpaceDN/>
        <w:bidi w:val="0"/>
        <w:adjustRightInd/>
        <w:snapToGrid/>
        <w:spacing w:after="0" w:line="390" w:lineRule="exact"/>
        <w:ind w:left="0" w:leftChars="0" w:firstLine="602" w:firstLineChars="200"/>
        <w:jc w:val="left"/>
        <w:textAlignment w:val="auto"/>
        <w:rPr>
          <w:rFonts w:hint="eastAsia" w:ascii="仿宋_GB2312" w:hAnsi="仿宋_GB2312" w:eastAsia="仿宋_GB2312" w:cs="仿宋_GB2312"/>
          <w:b w:val="0"/>
          <w:bCs w:val="0"/>
          <w:color w:val="auto"/>
          <w:sz w:val="30"/>
          <w:szCs w:val="30"/>
          <w:highlight w:val="none"/>
          <w:lang w:eastAsia="zh-CN"/>
        </w:rPr>
      </w:pPr>
      <w:r>
        <w:rPr>
          <w:rFonts w:hint="eastAsia" w:ascii="仿宋_GB2312" w:hAnsi="仿宋_GB2312" w:eastAsia="仿宋_GB2312" w:cs="仿宋_GB2312"/>
          <w:b/>
          <w:bCs/>
          <w:color w:val="auto"/>
          <w:sz w:val="30"/>
          <w:szCs w:val="30"/>
          <w:highlight w:val="none"/>
          <w:lang w:val="en-US" w:eastAsia="zh-CN"/>
        </w:rPr>
        <w:t>城镇独生子女父母奖励金：</w:t>
      </w:r>
      <w:r>
        <w:rPr>
          <w:rFonts w:hint="eastAsia" w:ascii="仿宋_GB2312" w:hAnsi="仿宋_GB2312" w:eastAsia="仿宋_GB2312" w:cs="仿宋_GB2312"/>
          <w:b w:val="0"/>
          <w:bCs w:val="0"/>
          <w:color w:val="auto"/>
          <w:sz w:val="30"/>
          <w:szCs w:val="30"/>
          <w:highlight w:val="none"/>
          <w:lang w:eastAsia="zh-CN"/>
        </w:rPr>
        <w:t>①申</w:t>
      </w:r>
      <w:r>
        <w:rPr>
          <w:rFonts w:hint="eastAsia" w:ascii="仿宋_GB2312" w:hAnsi="仿宋_GB2312" w:eastAsia="仿宋_GB2312" w:cs="仿宋_GB2312"/>
          <w:b w:val="0"/>
          <w:bCs w:val="0"/>
          <w:color w:val="auto"/>
          <w:sz w:val="30"/>
          <w:szCs w:val="30"/>
          <w:highlight w:val="none"/>
          <w:lang w:val="en-US" w:eastAsia="zh-CN"/>
        </w:rPr>
        <w:t>请</w:t>
      </w:r>
      <w:r>
        <w:rPr>
          <w:rFonts w:hint="eastAsia" w:ascii="仿宋_GB2312" w:hAnsi="仿宋_GB2312" w:eastAsia="仿宋_GB2312" w:cs="仿宋_GB2312"/>
          <w:b w:val="0"/>
          <w:bCs w:val="0"/>
          <w:color w:val="auto"/>
          <w:sz w:val="30"/>
          <w:szCs w:val="30"/>
          <w:highlight w:val="none"/>
          <w:lang w:eastAsia="zh-CN"/>
        </w:rPr>
        <w:t>对象为民营企业</w:t>
      </w:r>
      <w:r>
        <w:rPr>
          <w:rFonts w:hint="eastAsia" w:ascii="仿宋_GB2312" w:hAnsi="仿宋_GB2312" w:eastAsia="仿宋_GB2312" w:cs="仿宋_GB2312"/>
          <w:b w:val="0"/>
          <w:bCs w:val="0"/>
          <w:color w:val="auto"/>
          <w:sz w:val="30"/>
          <w:szCs w:val="30"/>
          <w:highlight w:val="none"/>
          <w:lang w:val="en-US" w:eastAsia="zh-CN"/>
        </w:rPr>
        <w:t>参保</w:t>
      </w:r>
      <w:r>
        <w:rPr>
          <w:rFonts w:hint="eastAsia" w:ascii="仿宋_GB2312" w:hAnsi="仿宋_GB2312" w:eastAsia="仿宋_GB2312" w:cs="仿宋_GB2312"/>
          <w:b w:val="0"/>
          <w:bCs w:val="0"/>
          <w:color w:val="auto"/>
          <w:sz w:val="30"/>
          <w:szCs w:val="30"/>
          <w:highlight w:val="none"/>
          <w:lang w:eastAsia="zh-CN"/>
        </w:rPr>
        <w:t>职工或自由职业者，国企和</w:t>
      </w:r>
      <w:r>
        <w:rPr>
          <w:rFonts w:hint="eastAsia" w:ascii="仿宋_GB2312" w:hAnsi="仿宋_GB2312" w:eastAsia="仿宋_GB2312" w:cs="仿宋_GB2312"/>
          <w:b w:val="0"/>
          <w:bCs w:val="0"/>
          <w:color w:val="auto"/>
          <w:sz w:val="30"/>
          <w:szCs w:val="30"/>
          <w:highlight w:val="none"/>
          <w:lang w:val="en-US" w:eastAsia="zh-CN"/>
        </w:rPr>
        <w:t>机关</w:t>
      </w:r>
      <w:r>
        <w:rPr>
          <w:rFonts w:hint="eastAsia" w:ascii="仿宋_GB2312" w:hAnsi="仿宋_GB2312" w:eastAsia="仿宋_GB2312" w:cs="仿宋_GB2312"/>
          <w:b w:val="0"/>
          <w:bCs w:val="0"/>
          <w:color w:val="auto"/>
          <w:sz w:val="30"/>
          <w:szCs w:val="30"/>
          <w:highlight w:val="none"/>
          <w:lang w:eastAsia="zh-CN"/>
        </w:rPr>
        <w:t>事业单位</w:t>
      </w:r>
      <w:r>
        <w:rPr>
          <w:rFonts w:hint="eastAsia" w:ascii="仿宋_GB2312" w:hAnsi="仿宋_GB2312" w:eastAsia="仿宋_GB2312" w:cs="仿宋_GB2312"/>
          <w:b w:val="0"/>
          <w:bCs w:val="0"/>
          <w:color w:val="auto"/>
          <w:sz w:val="30"/>
          <w:szCs w:val="30"/>
          <w:highlight w:val="none"/>
          <w:lang w:val="en-US" w:eastAsia="zh-CN"/>
        </w:rPr>
        <w:t>参保</w:t>
      </w:r>
      <w:r>
        <w:rPr>
          <w:rFonts w:hint="eastAsia" w:ascii="仿宋_GB2312" w:hAnsi="仿宋_GB2312" w:eastAsia="仿宋_GB2312" w:cs="仿宋_GB2312"/>
          <w:b w:val="0"/>
          <w:bCs w:val="0"/>
          <w:color w:val="auto"/>
          <w:sz w:val="30"/>
          <w:szCs w:val="30"/>
          <w:highlight w:val="none"/>
          <w:lang w:eastAsia="zh-CN"/>
        </w:rPr>
        <w:t>职工</w:t>
      </w:r>
      <w:r>
        <w:rPr>
          <w:rFonts w:hint="eastAsia" w:ascii="仿宋_GB2312" w:hAnsi="仿宋_GB2312" w:eastAsia="仿宋_GB2312" w:cs="仿宋_GB2312"/>
          <w:b w:val="0"/>
          <w:bCs w:val="0"/>
          <w:color w:val="auto"/>
          <w:sz w:val="30"/>
          <w:szCs w:val="30"/>
          <w:highlight w:val="none"/>
          <w:lang w:val="en-US" w:eastAsia="zh-CN"/>
        </w:rPr>
        <w:t>由工作单位发放</w:t>
      </w:r>
      <w:r>
        <w:rPr>
          <w:rFonts w:hint="eastAsia" w:ascii="仿宋_GB2312" w:hAnsi="仿宋_GB2312" w:eastAsia="仿宋_GB2312" w:cs="仿宋_GB2312"/>
          <w:b w:val="0"/>
          <w:bCs w:val="0"/>
          <w:color w:val="auto"/>
          <w:sz w:val="30"/>
          <w:szCs w:val="30"/>
          <w:highlight w:val="none"/>
          <w:lang w:eastAsia="zh-CN"/>
        </w:rPr>
        <w:t>。②</w:t>
      </w:r>
      <w:r>
        <w:rPr>
          <w:rFonts w:hint="eastAsia" w:ascii="仿宋_GB2312" w:hAnsi="仿宋_GB2312" w:eastAsia="仿宋_GB2312" w:cs="仿宋_GB2312"/>
          <w:b w:val="0"/>
          <w:bCs w:val="0"/>
          <w:color w:val="auto"/>
          <w:sz w:val="30"/>
          <w:szCs w:val="30"/>
          <w:highlight w:val="none"/>
          <w:lang w:val="en-US" w:eastAsia="zh-CN"/>
        </w:rPr>
        <w:t>城镇</w:t>
      </w:r>
      <w:r>
        <w:rPr>
          <w:rFonts w:hint="eastAsia" w:ascii="仿宋_GB2312" w:hAnsi="仿宋_GB2312" w:eastAsia="仿宋_GB2312" w:cs="仿宋_GB2312"/>
          <w:b w:val="0"/>
          <w:bCs w:val="0"/>
          <w:color w:val="auto"/>
          <w:sz w:val="30"/>
          <w:szCs w:val="30"/>
          <w:highlight w:val="none"/>
          <w:lang w:eastAsia="zh-CN"/>
        </w:rPr>
        <w:t>独生子女</w:t>
      </w:r>
      <w:r>
        <w:rPr>
          <w:rFonts w:hint="eastAsia" w:ascii="仿宋_GB2312" w:hAnsi="仿宋_GB2312" w:eastAsia="仿宋_GB2312" w:cs="仿宋_GB2312"/>
          <w:b w:val="0"/>
          <w:bCs w:val="0"/>
          <w:color w:val="auto"/>
          <w:sz w:val="30"/>
          <w:szCs w:val="30"/>
          <w:highlight w:val="none"/>
          <w:lang w:val="en-US" w:eastAsia="zh-CN"/>
        </w:rPr>
        <w:t>父母</w:t>
      </w:r>
      <w:r>
        <w:rPr>
          <w:rFonts w:hint="eastAsia" w:ascii="仿宋_GB2312" w:hAnsi="仿宋_GB2312" w:eastAsia="仿宋_GB2312" w:cs="仿宋_GB2312"/>
          <w:b w:val="0"/>
          <w:bCs w:val="0"/>
          <w:color w:val="auto"/>
          <w:sz w:val="30"/>
          <w:szCs w:val="30"/>
          <w:highlight w:val="none"/>
          <w:lang w:eastAsia="zh-CN"/>
        </w:rPr>
        <w:t>奖励</w:t>
      </w:r>
      <w:r>
        <w:rPr>
          <w:rFonts w:hint="eastAsia" w:ascii="仿宋_GB2312" w:hAnsi="仿宋_GB2312" w:eastAsia="仿宋_GB2312" w:cs="仿宋_GB2312"/>
          <w:b w:val="0"/>
          <w:bCs w:val="0"/>
          <w:color w:val="auto"/>
          <w:sz w:val="30"/>
          <w:szCs w:val="30"/>
          <w:highlight w:val="none"/>
          <w:lang w:val="en-US" w:eastAsia="zh-CN"/>
        </w:rPr>
        <w:t>金为</w:t>
      </w:r>
      <w:r>
        <w:rPr>
          <w:rFonts w:hint="eastAsia" w:ascii="仿宋_GB2312" w:hAnsi="仿宋_GB2312" w:eastAsia="仿宋_GB2312" w:cs="仿宋_GB2312"/>
          <w:b w:val="0"/>
          <w:bCs w:val="0"/>
          <w:color w:val="auto"/>
          <w:sz w:val="30"/>
          <w:szCs w:val="30"/>
          <w:highlight w:val="none"/>
          <w:lang w:eastAsia="zh-CN"/>
        </w:rPr>
        <w:t>一次性</w:t>
      </w:r>
      <w:r>
        <w:rPr>
          <w:rFonts w:hint="eastAsia" w:ascii="仿宋_GB2312" w:hAnsi="仿宋_GB2312" w:eastAsia="仿宋_GB2312" w:cs="仿宋_GB2312"/>
          <w:b w:val="0"/>
          <w:bCs w:val="0"/>
          <w:color w:val="auto"/>
          <w:sz w:val="30"/>
          <w:szCs w:val="30"/>
          <w:highlight w:val="none"/>
          <w:lang w:val="en-US" w:eastAsia="zh-CN"/>
        </w:rPr>
        <w:t>发放</w:t>
      </w:r>
      <w:r>
        <w:rPr>
          <w:rFonts w:hint="eastAsia" w:ascii="仿宋_GB2312" w:hAnsi="仿宋_GB2312" w:eastAsia="仿宋_GB2312" w:cs="仿宋_GB2312"/>
          <w:b w:val="0"/>
          <w:bCs w:val="0"/>
          <w:color w:val="auto"/>
          <w:sz w:val="30"/>
          <w:szCs w:val="30"/>
          <w:highlight w:val="none"/>
          <w:lang w:eastAsia="zh-CN"/>
        </w:rPr>
        <w:t>，</w:t>
      </w:r>
      <w:r>
        <w:rPr>
          <w:rFonts w:hint="eastAsia" w:ascii="仿宋_GB2312" w:hAnsi="仿宋_GB2312" w:eastAsia="仿宋_GB2312" w:cs="仿宋_GB2312"/>
          <w:b w:val="0"/>
          <w:bCs w:val="0"/>
          <w:color w:val="auto"/>
          <w:sz w:val="30"/>
          <w:szCs w:val="30"/>
          <w:highlight w:val="none"/>
          <w:lang w:val="en-US" w:eastAsia="zh-CN"/>
        </w:rPr>
        <w:t>国有企业</w:t>
      </w:r>
      <w:r>
        <w:rPr>
          <w:rFonts w:hint="eastAsia" w:ascii="仿宋_GB2312" w:hAnsi="仿宋_GB2312" w:eastAsia="仿宋_GB2312" w:cs="仿宋_GB2312"/>
          <w:b w:val="0"/>
          <w:bCs w:val="0"/>
          <w:color w:val="auto"/>
          <w:sz w:val="30"/>
          <w:szCs w:val="30"/>
          <w:highlight w:val="none"/>
          <w:lang w:eastAsia="zh-CN"/>
        </w:rPr>
        <w:t>改制时已发放的不再发放。③已领取《独生子女父母光荣证》</w:t>
      </w:r>
      <w:r>
        <w:rPr>
          <w:rFonts w:hint="eastAsia" w:ascii="仿宋_GB2312" w:hAnsi="仿宋_GB2312" w:eastAsia="仿宋_GB2312" w:cs="仿宋_GB2312"/>
          <w:b w:val="0"/>
          <w:bCs w:val="0"/>
          <w:color w:val="auto"/>
          <w:sz w:val="30"/>
          <w:szCs w:val="30"/>
          <w:highlight w:val="none"/>
          <w:lang w:val="en-US" w:eastAsia="zh-CN"/>
        </w:rPr>
        <w:t>或终身无子女。</w:t>
      </w:r>
    </w:p>
    <w:p>
      <w:pPr>
        <w:keepNext w:val="0"/>
        <w:keepLines w:val="0"/>
        <w:pageBreakBefore w:val="0"/>
        <w:widowControl w:val="0"/>
        <w:kinsoku/>
        <w:wordWrap/>
        <w:overflowPunct w:val="0"/>
        <w:topLinePunct w:val="0"/>
        <w:autoSpaceDE/>
        <w:autoSpaceDN/>
        <w:bidi w:val="0"/>
        <w:adjustRightInd w:val="0"/>
        <w:snapToGrid w:val="0"/>
        <w:spacing w:line="390" w:lineRule="exact"/>
        <w:ind w:left="0" w:leftChars="0" w:firstLine="576" w:firstLineChars="200"/>
        <w:jc w:val="left"/>
        <w:textAlignment w:val="auto"/>
        <w:rPr>
          <w:rFonts w:hint="eastAsia" w:ascii="黑体" w:hAnsi="黑体" w:eastAsia="黑体" w:cs="黑体"/>
          <w:b w:val="0"/>
          <w:bCs w:val="0"/>
          <w:color w:val="auto"/>
          <w:spacing w:val="-6"/>
          <w:sz w:val="30"/>
          <w:szCs w:val="30"/>
          <w:highlight w:val="none"/>
          <w:lang w:eastAsia="zh-CN"/>
        </w:rPr>
      </w:pPr>
      <w:r>
        <w:rPr>
          <w:rFonts w:hint="eastAsia" w:ascii="黑体" w:hAnsi="黑体" w:eastAsia="黑体" w:cs="黑体"/>
          <w:b w:val="0"/>
          <w:bCs w:val="0"/>
          <w:color w:val="auto"/>
          <w:spacing w:val="-6"/>
          <w:sz w:val="30"/>
          <w:szCs w:val="30"/>
          <w:highlight w:val="none"/>
          <w:lang w:val="en-US" w:eastAsia="zh-CN"/>
        </w:rPr>
        <w:t>三、个人</w:t>
      </w:r>
      <w:r>
        <w:rPr>
          <w:rFonts w:hint="eastAsia" w:ascii="黑体" w:hAnsi="黑体" w:eastAsia="黑体" w:cs="黑体"/>
          <w:b w:val="0"/>
          <w:bCs w:val="0"/>
          <w:color w:val="auto"/>
          <w:spacing w:val="-6"/>
          <w:sz w:val="30"/>
          <w:szCs w:val="30"/>
          <w:highlight w:val="none"/>
          <w:lang w:eastAsia="zh-CN"/>
        </w:rPr>
        <w:t>权益</w:t>
      </w:r>
    </w:p>
    <w:p>
      <w:pPr>
        <w:keepNext w:val="0"/>
        <w:keepLines w:val="0"/>
        <w:pageBreakBefore w:val="0"/>
        <w:widowControl w:val="0"/>
        <w:kinsoku/>
        <w:wordWrap/>
        <w:overflowPunct w:val="0"/>
        <w:topLinePunct w:val="0"/>
        <w:autoSpaceDE/>
        <w:autoSpaceDN/>
        <w:bidi w:val="0"/>
        <w:adjustRightInd w:val="0"/>
        <w:snapToGrid w:val="0"/>
        <w:spacing w:line="390" w:lineRule="exact"/>
        <w:ind w:firstLine="600" w:firstLineChars="200"/>
        <w:jc w:val="left"/>
        <w:textAlignment w:val="auto"/>
        <w:rPr>
          <w:rFonts w:hint="eastAsia" w:ascii="仿宋_GB2312" w:hAnsi="仿宋_GB2312" w:eastAsia="仿宋_GB2312" w:cs="仿宋_GB2312"/>
          <w:b w:val="0"/>
          <w:bCs w:val="0"/>
          <w:color w:val="auto"/>
          <w:sz w:val="30"/>
          <w:szCs w:val="30"/>
          <w:highlight w:val="none"/>
          <w:lang w:val="en-US" w:eastAsia="zh-CN"/>
        </w:rPr>
      </w:pPr>
      <w:r>
        <w:rPr>
          <w:rFonts w:hint="eastAsia" w:ascii="仿宋_GB2312" w:hAnsi="仿宋_GB2312" w:eastAsia="仿宋_GB2312" w:cs="仿宋_GB2312"/>
          <w:b w:val="0"/>
          <w:bCs w:val="0"/>
          <w:color w:val="auto"/>
          <w:sz w:val="30"/>
          <w:szCs w:val="30"/>
          <w:highlight w:val="none"/>
          <w:lang w:eastAsia="zh-CN"/>
        </w:rPr>
        <w:t>①如果您曾在省外缴纳过企业职工基本养老保险或机关事业单位养老保险，请先办理养老保险关系转移，归集养老保险个人账户。</w:t>
      </w:r>
      <w:r>
        <w:rPr>
          <w:rFonts w:hint="eastAsia" w:ascii="仿宋_GB2312" w:hAnsi="仿宋_GB2312" w:eastAsia="仿宋_GB2312" w:cs="仿宋_GB2312"/>
          <w:b w:val="0"/>
          <w:bCs w:val="0"/>
          <w:color w:val="auto"/>
          <w:sz w:val="30"/>
          <w:szCs w:val="30"/>
          <w:highlight w:val="none"/>
          <w:lang w:val="en-US" w:eastAsia="zh-CN"/>
        </w:rPr>
        <w:t>如果您曾在市外缴纳过职工基本医疗保险，请先办理职工基本医疗保险关系转移接续，归集职工基本医疗保险个人账户。</w:t>
      </w:r>
    </w:p>
    <w:p>
      <w:pPr>
        <w:keepNext w:val="0"/>
        <w:keepLines w:val="0"/>
        <w:pageBreakBefore w:val="0"/>
        <w:widowControl w:val="0"/>
        <w:kinsoku/>
        <w:wordWrap/>
        <w:overflowPunct w:val="0"/>
        <w:topLinePunct w:val="0"/>
        <w:autoSpaceDE/>
        <w:autoSpaceDN/>
        <w:bidi w:val="0"/>
        <w:adjustRightInd w:val="0"/>
        <w:snapToGrid w:val="0"/>
        <w:spacing w:line="390" w:lineRule="exact"/>
        <w:ind w:firstLine="600" w:firstLineChars="200"/>
        <w:jc w:val="left"/>
        <w:textAlignment w:val="auto"/>
        <w:rPr>
          <w:rFonts w:hint="eastAsia" w:ascii="仿宋_GB2312" w:hAnsi="仿宋_GB2312" w:eastAsia="仿宋_GB2312" w:cs="仿宋_GB2312"/>
          <w:b w:val="0"/>
          <w:bCs w:val="0"/>
          <w:color w:val="auto"/>
          <w:sz w:val="30"/>
          <w:szCs w:val="30"/>
          <w:highlight w:val="none"/>
          <w:lang w:eastAsia="zh-CN"/>
        </w:rPr>
      </w:pPr>
      <w:r>
        <w:rPr>
          <w:rFonts w:hint="eastAsia" w:ascii="仿宋_GB2312" w:hAnsi="仿宋_GB2312" w:eastAsia="仿宋_GB2312" w:cs="仿宋_GB2312"/>
          <w:b w:val="0"/>
          <w:bCs w:val="0"/>
          <w:color w:val="auto"/>
          <w:sz w:val="30"/>
          <w:szCs w:val="30"/>
          <w:highlight w:val="none"/>
          <w:lang w:eastAsia="zh-CN"/>
        </w:rPr>
        <w:t>②请仔细核对</w:t>
      </w:r>
      <w:r>
        <w:rPr>
          <w:rFonts w:hint="eastAsia" w:ascii="仿宋_GB2312" w:hAnsi="仿宋_GB2312" w:eastAsia="仿宋_GB2312" w:cs="仿宋_GB2312"/>
          <w:b w:val="0"/>
          <w:bCs w:val="0"/>
          <w:color w:val="auto"/>
          <w:sz w:val="30"/>
          <w:szCs w:val="30"/>
          <w:highlight w:val="none"/>
          <w:lang w:val="en-US" w:eastAsia="zh-CN"/>
        </w:rPr>
        <w:t>养老、医保历年缴费和住房公积金缴存情况</w:t>
      </w:r>
      <w:r>
        <w:rPr>
          <w:rFonts w:hint="eastAsia" w:ascii="仿宋_GB2312" w:hAnsi="仿宋_GB2312" w:eastAsia="仿宋_GB2312" w:cs="仿宋_GB2312"/>
          <w:b w:val="0"/>
          <w:bCs w:val="0"/>
          <w:color w:val="auto"/>
          <w:sz w:val="30"/>
          <w:szCs w:val="30"/>
          <w:highlight w:val="none"/>
          <w:lang w:eastAsia="zh-CN"/>
        </w:rPr>
        <w:t>，如提出补缴</w:t>
      </w:r>
      <w:r>
        <w:rPr>
          <w:rFonts w:hint="eastAsia" w:ascii="仿宋_GB2312" w:hAnsi="仿宋_GB2312" w:eastAsia="仿宋_GB2312" w:cs="仿宋_GB2312"/>
          <w:b w:val="0"/>
          <w:bCs w:val="0"/>
          <w:color w:val="auto"/>
          <w:sz w:val="30"/>
          <w:szCs w:val="30"/>
          <w:highlight w:val="none"/>
          <w:lang w:val="en-US" w:eastAsia="zh-CN"/>
        </w:rPr>
        <w:t>养老保险、医疗保险、住房公积金或</w:t>
      </w:r>
      <w:r>
        <w:rPr>
          <w:rFonts w:hint="eastAsia" w:ascii="仿宋_GB2312" w:hAnsi="仿宋_GB2312" w:eastAsia="仿宋_GB2312" w:cs="仿宋_GB2312"/>
          <w:b w:val="0"/>
          <w:bCs w:val="0"/>
          <w:color w:val="auto"/>
          <w:sz w:val="30"/>
          <w:szCs w:val="30"/>
          <w:highlight w:val="none"/>
          <w:lang w:eastAsia="zh-CN"/>
        </w:rPr>
        <w:t>有其他争议的，请先暂停申请，按政策</w:t>
      </w:r>
      <w:r>
        <w:rPr>
          <w:rFonts w:hint="eastAsia" w:ascii="仿宋_GB2312" w:hAnsi="仿宋_GB2312" w:eastAsia="仿宋_GB2312" w:cs="仿宋_GB2312"/>
          <w:b w:val="0"/>
          <w:bCs w:val="0"/>
          <w:color w:val="auto"/>
          <w:spacing w:val="-6"/>
          <w:sz w:val="30"/>
          <w:szCs w:val="30"/>
          <w:highlight w:val="none"/>
          <w:lang w:eastAsia="zh-CN"/>
        </w:rPr>
        <w:t>规定先办理补缴或争议处理事宜。如继续申请，视</w:t>
      </w:r>
      <w:r>
        <w:rPr>
          <w:rFonts w:hint="eastAsia" w:ascii="仿宋_GB2312" w:hAnsi="仿宋_GB2312" w:eastAsia="仿宋_GB2312" w:cs="仿宋_GB2312"/>
          <w:b w:val="0"/>
          <w:bCs w:val="0"/>
          <w:color w:val="auto"/>
          <w:spacing w:val="-6"/>
          <w:sz w:val="30"/>
          <w:szCs w:val="30"/>
          <w:highlight w:val="none"/>
          <w:lang w:val="en-US" w:eastAsia="zh-CN"/>
        </w:rPr>
        <w:t>为</w:t>
      </w:r>
      <w:r>
        <w:rPr>
          <w:rFonts w:hint="eastAsia" w:ascii="仿宋_GB2312" w:hAnsi="仿宋_GB2312" w:eastAsia="仿宋_GB2312" w:cs="仿宋_GB2312"/>
          <w:b w:val="0"/>
          <w:bCs w:val="0"/>
          <w:color w:val="auto"/>
          <w:spacing w:val="-6"/>
          <w:sz w:val="30"/>
          <w:szCs w:val="30"/>
          <w:highlight w:val="none"/>
          <w:lang w:eastAsia="zh-CN"/>
        </w:rPr>
        <w:t>认可现有缴费</w:t>
      </w:r>
      <w:r>
        <w:rPr>
          <w:rFonts w:hint="eastAsia" w:ascii="仿宋_GB2312" w:hAnsi="仿宋_GB2312" w:eastAsia="仿宋_GB2312" w:cs="仿宋_GB2312"/>
          <w:b w:val="0"/>
          <w:bCs w:val="0"/>
          <w:color w:val="auto"/>
          <w:spacing w:val="-6"/>
          <w:sz w:val="30"/>
          <w:szCs w:val="30"/>
          <w:highlight w:val="none"/>
          <w:lang w:val="en-US" w:eastAsia="zh-CN"/>
        </w:rPr>
        <w:t>或缴存</w:t>
      </w:r>
      <w:r>
        <w:rPr>
          <w:rFonts w:hint="eastAsia" w:ascii="仿宋_GB2312" w:hAnsi="仿宋_GB2312" w:eastAsia="仿宋_GB2312" w:cs="仿宋_GB2312"/>
          <w:b w:val="0"/>
          <w:bCs w:val="0"/>
          <w:color w:val="auto"/>
          <w:spacing w:val="-6"/>
          <w:sz w:val="30"/>
          <w:szCs w:val="30"/>
          <w:highlight w:val="none"/>
          <w:lang w:eastAsia="zh-CN"/>
        </w:rPr>
        <w:t>信息。</w:t>
      </w:r>
    </w:p>
    <w:p>
      <w:pPr>
        <w:keepNext w:val="0"/>
        <w:keepLines w:val="0"/>
        <w:pageBreakBefore w:val="0"/>
        <w:widowControl w:val="0"/>
        <w:kinsoku/>
        <w:wordWrap/>
        <w:overflowPunct w:val="0"/>
        <w:topLinePunct w:val="0"/>
        <w:autoSpaceDE/>
        <w:autoSpaceDN/>
        <w:bidi w:val="0"/>
        <w:adjustRightInd w:val="0"/>
        <w:snapToGrid w:val="0"/>
        <w:spacing w:line="390" w:lineRule="exact"/>
        <w:ind w:firstLine="600" w:firstLineChars="200"/>
        <w:jc w:val="left"/>
        <w:textAlignment w:val="auto"/>
        <w:rPr>
          <w:rFonts w:hint="default" w:ascii="仿宋_GB2312" w:hAnsi="仿宋_GB2312" w:eastAsia="仿宋_GB2312" w:cs="仿宋_GB2312"/>
          <w:b w:val="0"/>
          <w:bCs w:val="0"/>
          <w:color w:val="auto"/>
          <w:sz w:val="30"/>
          <w:szCs w:val="30"/>
          <w:highlight w:val="none"/>
          <w:lang w:val="en-US" w:eastAsia="zh-CN"/>
        </w:rPr>
      </w:pPr>
      <w:r>
        <w:rPr>
          <w:rFonts w:hint="eastAsia" w:ascii="仿宋_GB2312" w:hAnsi="仿宋_GB2312" w:eastAsia="仿宋_GB2312" w:cs="仿宋_GB2312"/>
          <w:b w:val="0"/>
          <w:bCs w:val="0"/>
          <w:color w:val="auto"/>
          <w:sz w:val="30"/>
          <w:szCs w:val="30"/>
          <w:highlight w:val="none"/>
          <w:lang w:eastAsia="zh-CN"/>
        </w:rPr>
        <w:t>③</w:t>
      </w:r>
      <w:r>
        <w:rPr>
          <w:rFonts w:hint="eastAsia" w:ascii="仿宋_GB2312" w:hAnsi="仿宋_GB2312" w:eastAsia="仿宋_GB2312" w:cs="仿宋_GB2312"/>
          <w:b w:val="0"/>
          <w:bCs w:val="0"/>
          <w:color w:val="auto"/>
          <w:sz w:val="30"/>
          <w:szCs w:val="30"/>
          <w:highlight w:val="none"/>
          <w:lang w:val="en-US" w:eastAsia="zh-CN"/>
        </w:rPr>
        <w:t>高效办成退休“一件事”办理条件是完成档案审核，税务缴费到账、异地账户归并、重复缴费退费等具备计发养老金条件情形。如您在不具备计发养老金条件下申请，办理时限从具备计发条件时开始计算。</w:t>
      </w:r>
    </w:p>
    <w:p>
      <w:pPr>
        <w:keepNext w:val="0"/>
        <w:keepLines w:val="0"/>
        <w:pageBreakBefore w:val="0"/>
        <w:widowControl w:val="0"/>
        <w:kinsoku/>
        <w:wordWrap/>
        <w:overflowPunct w:val="0"/>
        <w:topLinePunct w:val="0"/>
        <w:autoSpaceDE/>
        <w:autoSpaceDN/>
        <w:bidi w:val="0"/>
        <w:adjustRightInd w:val="0"/>
        <w:snapToGrid w:val="0"/>
        <w:spacing w:line="390" w:lineRule="exact"/>
        <w:ind w:firstLine="600" w:firstLineChars="200"/>
        <w:jc w:val="left"/>
        <w:textAlignment w:val="auto"/>
        <w:rPr>
          <w:rFonts w:hint="eastAsia" w:ascii="仿宋_GB2312" w:hAnsi="仿宋_GB2312" w:eastAsia="仿宋_GB2312" w:cs="仿宋_GB2312"/>
          <w:b w:val="0"/>
          <w:bCs w:val="0"/>
          <w:color w:val="auto"/>
          <w:kern w:val="2"/>
          <w:sz w:val="30"/>
          <w:szCs w:val="30"/>
          <w:highlight w:val="none"/>
          <w:lang w:val="en-US" w:eastAsia="zh-CN" w:bidi="ar-SA"/>
        </w:rPr>
      </w:pPr>
      <w:r>
        <w:rPr>
          <w:rFonts w:hint="eastAsia" w:ascii="仿宋_GB2312" w:hAnsi="仿宋_GB2312" w:eastAsia="仿宋_GB2312" w:cs="仿宋_GB2312"/>
          <w:b w:val="0"/>
          <w:bCs w:val="0"/>
          <w:color w:val="auto"/>
          <w:sz w:val="30"/>
          <w:szCs w:val="30"/>
          <w:highlight w:val="none"/>
          <w:lang w:eastAsia="zh-CN"/>
        </w:rPr>
        <w:t>④</w:t>
      </w:r>
      <w:r>
        <w:rPr>
          <w:rFonts w:hint="eastAsia" w:ascii="仿宋_GB2312" w:hAnsi="仿宋_GB2312" w:eastAsia="仿宋_GB2312" w:cs="仿宋_GB2312"/>
          <w:b w:val="0"/>
          <w:bCs w:val="0"/>
          <w:color w:val="auto"/>
          <w:kern w:val="2"/>
          <w:sz w:val="30"/>
          <w:szCs w:val="30"/>
          <w:highlight w:val="none"/>
          <w:lang w:val="en-US" w:eastAsia="zh-CN" w:bidi="ar-SA"/>
        </w:rPr>
        <w:t>企业（单位）代办提取住房公积金，需取得职工授权，如继续提交提取住房公积金代办申请的，视为已取得职工授权。</w:t>
      </w:r>
    </w:p>
    <w:p>
      <w:pPr>
        <w:keepNext w:val="0"/>
        <w:keepLines w:val="0"/>
        <w:pageBreakBefore w:val="0"/>
        <w:widowControl w:val="0"/>
        <w:kinsoku/>
        <w:wordWrap/>
        <w:overflowPunct w:val="0"/>
        <w:topLinePunct w:val="0"/>
        <w:autoSpaceDE/>
        <w:autoSpaceDN/>
        <w:bidi w:val="0"/>
        <w:adjustRightInd w:val="0"/>
        <w:snapToGrid w:val="0"/>
        <w:spacing w:line="390" w:lineRule="exact"/>
        <w:ind w:firstLine="600" w:firstLineChars="200"/>
        <w:jc w:val="left"/>
        <w:textAlignment w:val="auto"/>
        <w:rPr>
          <w:rFonts w:hint="eastAsia" w:ascii="仿宋_GB2312" w:hAnsi="仿宋_GB2312" w:eastAsia="仿宋_GB2312" w:cs="仿宋_GB2312"/>
          <w:b w:val="0"/>
          <w:bCs w:val="0"/>
          <w:color w:val="auto"/>
          <w:sz w:val="30"/>
          <w:szCs w:val="30"/>
          <w:highlight w:val="none"/>
          <w:lang w:eastAsia="zh-CN"/>
        </w:rPr>
      </w:pPr>
      <w:r>
        <w:rPr>
          <w:rFonts w:hint="eastAsia" w:ascii="仿宋_GB2312" w:hAnsi="仿宋_GB2312" w:eastAsia="仿宋_GB2312" w:cs="仿宋_GB2312"/>
          <w:b w:val="0"/>
          <w:bCs w:val="0"/>
          <w:color w:val="auto"/>
          <w:sz w:val="30"/>
          <w:szCs w:val="30"/>
          <w:highlight w:val="none"/>
          <w:lang w:val="en-US" w:eastAsia="zh-CN"/>
        </w:rPr>
        <w:t>⑤弹性提前退休，应职工自愿提出，弹性延迟退休职工应与用人单位达成一致意见，继续</w:t>
      </w:r>
      <w:r>
        <w:rPr>
          <w:rFonts w:hint="eastAsia" w:ascii="仿宋_GB2312" w:hAnsi="仿宋_GB2312" w:eastAsia="仿宋_GB2312" w:cs="仿宋_GB2312"/>
          <w:b w:val="0"/>
          <w:bCs w:val="0"/>
          <w:color w:val="auto"/>
          <w:kern w:val="2"/>
          <w:sz w:val="30"/>
          <w:szCs w:val="30"/>
          <w:highlight w:val="none"/>
          <w:lang w:val="en-US" w:eastAsia="zh-CN" w:bidi="ar-SA"/>
        </w:rPr>
        <w:t>提交退休申请，视为已协商一致。</w:t>
      </w:r>
      <w:r>
        <w:rPr>
          <w:rFonts w:hint="eastAsia" w:ascii="仿宋_GB2312" w:hAnsi="仿宋_GB2312" w:eastAsia="仿宋_GB2312" w:cs="仿宋_GB2312"/>
          <w:b w:val="0"/>
          <w:bCs w:val="0"/>
          <w:color w:val="auto"/>
          <w:sz w:val="30"/>
          <w:szCs w:val="30"/>
          <w:highlight w:val="none"/>
          <w:lang w:val="en-US" w:eastAsia="zh-CN"/>
        </w:rPr>
        <w:t>延迟退休会增加缴费年限，基本养老金也会提高，</w:t>
      </w:r>
      <w:r>
        <w:rPr>
          <w:rFonts w:hint="eastAsia" w:ascii="仿宋_GB2312" w:hAnsi="仿宋_GB2312" w:eastAsia="仿宋_GB2312" w:cs="仿宋_GB2312"/>
          <w:b w:val="0"/>
          <w:bCs w:val="0"/>
          <w:color w:val="auto"/>
          <w:sz w:val="30"/>
          <w:szCs w:val="30"/>
          <w:highlight w:val="none"/>
          <w:lang w:eastAsia="zh-CN"/>
        </w:rPr>
        <w:t>基本养老金调整时，与缴费年限挂钩调整部分也会</w:t>
      </w:r>
      <w:r>
        <w:rPr>
          <w:rFonts w:hint="eastAsia" w:ascii="仿宋_GB2312" w:hAnsi="仿宋_GB2312" w:eastAsia="仿宋_GB2312" w:cs="仿宋_GB2312"/>
          <w:b w:val="0"/>
          <w:bCs w:val="0"/>
          <w:color w:val="auto"/>
          <w:sz w:val="30"/>
          <w:szCs w:val="30"/>
          <w:highlight w:val="none"/>
          <w:lang w:val="en-US" w:eastAsia="zh-CN"/>
        </w:rPr>
        <w:t>增加</w:t>
      </w:r>
      <w:r>
        <w:rPr>
          <w:rFonts w:hint="eastAsia" w:ascii="仿宋_GB2312" w:hAnsi="仿宋_GB2312" w:eastAsia="仿宋_GB2312" w:cs="仿宋_GB2312"/>
          <w:b w:val="0"/>
          <w:bCs w:val="0"/>
          <w:color w:val="auto"/>
          <w:sz w:val="30"/>
          <w:szCs w:val="30"/>
          <w:highlight w:val="none"/>
          <w:lang w:eastAsia="zh-CN"/>
        </w:rPr>
        <w:t>；提前退休</w:t>
      </w:r>
      <w:r>
        <w:rPr>
          <w:rFonts w:hint="eastAsia" w:ascii="仿宋_GB2312" w:hAnsi="仿宋_GB2312" w:eastAsia="仿宋_GB2312" w:cs="仿宋_GB2312"/>
          <w:b w:val="0"/>
          <w:bCs w:val="0"/>
          <w:color w:val="auto"/>
          <w:sz w:val="30"/>
          <w:szCs w:val="30"/>
          <w:highlight w:val="none"/>
          <w:lang w:val="en-US" w:eastAsia="zh-CN"/>
        </w:rPr>
        <w:t>则会</w:t>
      </w:r>
      <w:r>
        <w:rPr>
          <w:rFonts w:hint="eastAsia" w:ascii="仿宋_GB2312" w:hAnsi="仿宋_GB2312" w:eastAsia="仿宋_GB2312" w:cs="仿宋_GB2312"/>
          <w:b w:val="0"/>
          <w:bCs w:val="0"/>
          <w:color w:val="auto"/>
          <w:sz w:val="30"/>
          <w:szCs w:val="30"/>
          <w:highlight w:val="none"/>
          <w:lang w:eastAsia="zh-CN"/>
        </w:rPr>
        <w:t>减少缴费年限，降低基本养老金；基本养老金调整时，与缴费年限挂钩调整部分也会减少。</w:t>
      </w:r>
    </w:p>
    <w:p>
      <w:pPr>
        <w:keepNext w:val="0"/>
        <w:keepLines w:val="0"/>
        <w:pageBreakBefore w:val="0"/>
        <w:widowControl w:val="0"/>
        <w:kinsoku/>
        <w:wordWrap/>
        <w:overflowPunct w:val="0"/>
        <w:topLinePunct w:val="0"/>
        <w:autoSpaceDE/>
        <w:autoSpaceDN/>
        <w:bidi w:val="0"/>
        <w:adjustRightInd w:val="0"/>
        <w:snapToGrid w:val="0"/>
        <w:spacing w:line="390" w:lineRule="exact"/>
        <w:ind w:firstLine="600" w:firstLineChars="200"/>
        <w:jc w:val="left"/>
        <w:textAlignment w:val="auto"/>
        <w:rPr>
          <w:rFonts w:hint="eastAsia" w:ascii="仿宋_GB2312" w:hAnsi="仿宋_GB2312" w:eastAsia="仿宋_GB2312" w:cs="仿宋_GB2312"/>
          <w:b w:val="0"/>
          <w:bCs w:val="0"/>
          <w:color w:val="auto"/>
          <w:sz w:val="30"/>
          <w:szCs w:val="30"/>
          <w:highlight w:val="none"/>
          <w:lang w:eastAsia="zh-CN"/>
        </w:rPr>
      </w:pPr>
      <w:r>
        <w:rPr>
          <w:rFonts w:hint="eastAsia" w:ascii="仿宋_GB2312" w:hAnsi="仿宋_GB2312" w:eastAsia="仿宋_GB2312" w:cs="仿宋_GB2312"/>
          <w:b w:val="0"/>
          <w:bCs w:val="0"/>
          <w:color w:val="auto"/>
          <w:sz w:val="30"/>
          <w:szCs w:val="30"/>
          <w:highlight w:val="none"/>
          <w:lang w:eastAsia="zh-CN"/>
        </w:rPr>
        <w:t>⑥如对基本养老金计发有异议的，</w:t>
      </w:r>
      <w:r>
        <w:rPr>
          <w:rFonts w:hint="eastAsia" w:ascii="仿宋_GB2312" w:hAnsi="仿宋_GB2312" w:eastAsia="仿宋_GB2312" w:cs="仿宋_GB2312"/>
          <w:b w:val="0"/>
          <w:bCs w:val="0"/>
          <w:color w:val="auto"/>
          <w:sz w:val="32"/>
          <w:szCs w:val="32"/>
          <w:highlight w:val="none"/>
          <w:lang w:eastAsia="zh-CN"/>
        </w:rPr>
        <w:t>可申请复核，</w:t>
      </w:r>
      <w:r>
        <w:rPr>
          <w:rFonts w:hint="eastAsia" w:ascii="仿宋_GB2312" w:hAnsi="仿宋_GB2312" w:eastAsia="仿宋_GB2312" w:cs="仿宋_GB2312"/>
          <w:b w:val="0"/>
          <w:bCs w:val="0"/>
          <w:color w:val="auto"/>
          <w:sz w:val="32"/>
          <w:szCs w:val="32"/>
          <w:highlight w:val="none"/>
          <w:lang w:val="en-US" w:eastAsia="zh-CN"/>
        </w:rPr>
        <w:t>也可</w:t>
      </w:r>
      <w:r>
        <w:rPr>
          <w:rFonts w:hint="eastAsia" w:ascii="仿宋_GB2312" w:hAnsi="仿宋_GB2312" w:eastAsia="仿宋_GB2312" w:cs="仿宋_GB2312"/>
          <w:b w:val="0"/>
          <w:bCs w:val="0"/>
          <w:color w:val="auto"/>
          <w:sz w:val="30"/>
          <w:szCs w:val="30"/>
          <w:highlight w:val="none"/>
          <w:lang w:eastAsia="zh-CN"/>
        </w:rPr>
        <w:t>自收到《基本养老金计发表》之日起60日内向有管辖权的人民政府行政复议机构申请行政复议，或者在6个月内向人民法院提起行政诉讼。</w:t>
      </w:r>
    </w:p>
    <w:p>
      <w:pPr>
        <w:keepNext w:val="0"/>
        <w:keepLines w:val="0"/>
        <w:pageBreakBefore w:val="0"/>
        <w:widowControl w:val="0"/>
        <w:kinsoku/>
        <w:wordWrap/>
        <w:overflowPunct w:val="0"/>
        <w:topLinePunct w:val="0"/>
        <w:autoSpaceDE/>
        <w:autoSpaceDN/>
        <w:bidi w:val="0"/>
        <w:adjustRightInd w:val="0"/>
        <w:snapToGrid w:val="0"/>
        <w:spacing w:line="390" w:lineRule="exact"/>
        <w:ind w:firstLine="600" w:firstLineChars="200"/>
        <w:jc w:val="left"/>
        <w:textAlignment w:val="auto"/>
        <w:rPr>
          <w:rFonts w:hint="eastAsia" w:ascii="仿宋_GB2312" w:hAnsi="仿宋_GB2312" w:eastAsia="仿宋_GB2312" w:cs="仿宋_GB2312"/>
          <w:b w:val="0"/>
          <w:bCs w:val="0"/>
          <w:color w:val="auto"/>
          <w:sz w:val="30"/>
          <w:szCs w:val="30"/>
          <w:highlight w:val="none"/>
          <w:lang w:eastAsia="zh-CN"/>
        </w:rPr>
      </w:pPr>
      <w:r>
        <w:rPr>
          <w:rFonts w:hint="eastAsia" w:ascii="仿宋_GB2312" w:hAnsi="仿宋_GB2312" w:eastAsia="仿宋_GB2312" w:cs="仿宋_GB2312"/>
          <w:b w:val="0"/>
          <w:bCs w:val="0"/>
          <w:color w:val="auto"/>
          <w:sz w:val="30"/>
          <w:szCs w:val="30"/>
          <w:highlight w:val="none"/>
          <w:lang w:val="en-US" w:eastAsia="zh-CN"/>
        </w:rPr>
        <w:t>⑦</w:t>
      </w:r>
      <w:r>
        <w:rPr>
          <w:rFonts w:hint="eastAsia" w:ascii="仿宋_GB2312" w:hAnsi="仿宋_GB2312" w:eastAsia="仿宋_GB2312" w:cs="仿宋_GB2312"/>
          <w:b w:val="0"/>
          <w:bCs w:val="0"/>
          <w:color w:val="auto"/>
          <w:sz w:val="30"/>
          <w:szCs w:val="30"/>
          <w:highlight w:val="none"/>
          <w:lang w:eastAsia="zh-CN"/>
        </w:rPr>
        <w:t>办理退休后，请下载“皖事通”APP开展养老待遇领取资格自助认证。认证周期采用递延计算方式，认证成功在一个认证周期内有效（</w:t>
      </w:r>
      <w:r>
        <w:rPr>
          <w:rFonts w:hint="eastAsia" w:ascii="仿宋_GB2312" w:hAnsi="仿宋_GB2312" w:eastAsia="仿宋_GB2312" w:cs="仿宋_GB2312"/>
          <w:b w:val="0"/>
          <w:bCs w:val="0"/>
          <w:color w:val="auto"/>
          <w:sz w:val="30"/>
          <w:szCs w:val="30"/>
          <w:highlight w:val="none"/>
          <w:lang w:val="en-US" w:eastAsia="zh-CN"/>
        </w:rPr>
        <w:t>365天</w:t>
      </w:r>
      <w:r>
        <w:rPr>
          <w:rFonts w:hint="eastAsia" w:ascii="仿宋_GB2312" w:hAnsi="仿宋_GB2312" w:eastAsia="仿宋_GB2312" w:cs="仿宋_GB2312"/>
          <w:b w:val="0"/>
          <w:bCs w:val="0"/>
          <w:color w:val="auto"/>
          <w:sz w:val="30"/>
          <w:szCs w:val="30"/>
          <w:highlight w:val="none"/>
          <w:lang w:eastAsia="zh-CN"/>
        </w:rPr>
        <w:t>），每次认证后，周期自动向后递延。</w:t>
      </w:r>
    </w:p>
    <w:p>
      <w:pPr>
        <w:keepNext w:val="0"/>
        <w:keepLines w:val="0"/>
        <w:pageBreakBefore w:val="0"/>
        <w:widowControl w:val="0"/>
        <w:kinsoku/>
        <w:wordWrap/>
        <w:overflowPunct w:val="0"/>
        <w:topLinePunct w:val="0"/>
        <w:autoSpaceDE/>
        <w:autoSpaceDN/>
        <w:bidi w:val="0"/>
        <w:adjustRightInd w:val="0"/>
        <w:snapToGrid w:val="0"/>
        <w:spacing w:line="390" w:lineRule="exact"/>
        <w:ind w:firstLine="560" w:firstLineChars="200"/>
        <w:jc w:val="both"/>
        <w:textAlignment w:val="auto"/>
        <w:rPr>
          <w:rFonts w:hint="eastAsia" w:ascii="仿宋_GB2312" w:hAnsi="仿宋_GB2312" w:eastAsia="仿宋_GB2312" w:cs="仿宋_GB2312"/>
          <w:b w:val="0"/>
          <w:bCs w:val="0"/>
          <w:color w:val="auto"/>
          <w:sz w:val="28"/>
          <w:szCs w:val="28"/>
          <w:highlight w:val="none"/>
          <w:lang w:eastAsia="zh-CN"/>
        </w:rPr>
      </w:pPr>
      <w:r>
        <w:rPr>
          <w:rFonts w:hint="eastAsia" w:ascii="仿宋_GB2312" w:hAnsi="仿宋_GB2312" w:eastAsia="仿宋_GB2312" w:cs="仿宋_GB2312"/>
          <w:b w:val="0"/>
          <w:bCs w:val="0"/>
          <w:color w:val="auto"/>
          <w:sz w:val="28"/>
          <w:szCs w:val="28"/>
          <w:highlight w:val="none"/>
          <w:lang w:val="en-US" w:eastAsia="zh-CN"/>
        </w:rPr>
        <w:t>⑧</w:t>
      </w:r>
      <w:r>
        <w:rPr>
          <w:rFonts w:hint="eastAsia" w:ascii="仿宋_GB2312" w:hAnsi="仿宋_GB2312" w:eastAsia="仿宋_GB2312" w:cs="仿宋_GB2312"/>
          <w:b w:val="0"/>
          <w:bCs w:val="0"/>
          <w:color w:val="auto"/>
          <w:sz w:val="28"/>
          <w:szCs w:val="28"/>
          <w:highlight w:val="none"/>
          <w:lang w:eastAsia="zh-CN"/>
        </w:rPr>
        <w:t>您可登录“皖事通”APP-更多服务-社会保险，选择您需要的服务项目进行查询，也可登录“皖事通”手机APP-我的电子卡包（允许获取个人信息）-电子社保卡—本地服务（更多）-获取电子退休证。</w:t>
      </w:r>
    </w:p>
    <w:p>
      <w:pPr>
        <w:pStyle w:val="5"/>
        <w:keepNext w:val="0"/>
        <w:keepLines w:val="0"/>
        <w:pageBreakBefore w:val="0"/>
        <w:widowControl w:val="0"/>
        <w:kinsoku/>
        <w:wordWrap/>
        <w:overflowPunct/>
        <w:topLinePunct w:val="0"/>
        <w:autoSpaceDE/>
        <w:autoSpaceDN/>
        <w:bidi w:val="0"/>
        <w:adjustRightInd/>
        <w:snapToGrid/>
        <w:spacing w:after="0" w:line="390" w:lineRule="exact"/>
        <w:ind w:left="0" w:leftChars="0" w:firstLine="600" w:firstLineChars="200"/>
        <w:jc w:val="left"/>
        <w:textAlignment w:val="auto"/>
        <w:rPr>
          <w:rFonts w:hint="eastAsia" w:ascii="仿宋_GB2312" w:hAnsi="仿宋_GB2312" w:eastAsia="仿宋_GB2312" w:cs="仿宋_GB2312"/>
          <w:b w:val="0"/>
          <w:bCs w:val="0"/>
          <w:color w:val="auto"/>
          <w:sz w:val="30"/>
          <w:szCs w:val="30"/>
          <w:highlight w:val="none"/>
          <w:lang w:val="en-US" w:eastAsia="zh-CN"/>
        </w:rPr>
      </w:pPr>
      <w:r>
        <w:rPr>
          <w:rFonts w:hint="eastAsia" w:ascii="仿宋_GB2312" w:hAnsi="仿宋_GB2312" w:eastAsia="仿宋_GB2312" w:cs="仿宋_GB2312"/>
          <w:b w:val="0"/>
          <w:bCs w:val="0"/>
          <w:color w:val="auto"/>
          <w:kern w:val="2"/>
          <w:sz w:val="30"/>
          <w:szCs w:val="30"/>
          <w:highlight w:val="none"/>
          <w:lang w:val="en-US" w:eastAsia="zh-CN" w:bidi="ar-SA"/>
        </w:rPr>
        <w:t>⑨</w:t>
      </w:r>
      <w:r>
        <w:rPr>
          <w:rFonts w:hint="eastAsia" w:ascii="仿宋_GB2312" w:hAnsi="仿宋_GB2312" w:eastAsia="仿宋_GB2312" w:cs="仿宋_GB2312"/>
          <w:b w:val="0"/>
          <w:bCs w:val="0"/>
          <w:color w:val="auto"/>
          <w:sz w:val="30"/>
          <w:szCs w:val="30"/>
          <w:highlight w:val="none"/>
          <w:lang w:val="en-US" w:eastAsia="zh-CN"/>
        </w:rPr>
        <w:t>您可登入“皖事通”APP，搜索“企业养老退休待遇明细”查询养老金。</w:t>
      </w:r>
    </w:p>
    <w:p>
      <w:pPr>
        <w:keepNext w:val="0"/>
        <w:keepLines w:val="0"/>
        <w:pageBreakBefore w:val="0"/>
        <w:widowControl w:val="0"/>
        <w:kinsoku/>
        <w:wordWrap/>
        <w:overflowPunct w:val="0"/>
        <w:topLinePunct w:val="0"/>
        <w:autoSpaceDE/>
        <w:autoSpaceDN/>
        <w:bidi w:val="0"/>
        <w:adjustRightInd w:val="0"/>
        <w:snapToGrid w:val="0"/>
        <w:spacing w:line="390" w:lineRule="exact"/>
        <w:ind w:firstLine="600" w:firstLineChars="200"/>
        <w:jc w:val="left"/>
        <w:textAlignment w:val="auto"/>
        <w:rPr>
          <w:rFonts w:hint="eastAsia" w:ascii="仿宋_GB2312" w:hAnsi="仿宋_GB2312" w:eastAsia="仿宋_GB2312" w:cs="仿宋_GB2312"/>
          <w:b w:val="0"/>
          <w:bCs w:val="0"/>
          <w:i w:val="0"/>
          <w:iCs w:val="0"/>
          <w:caps w:val="0"/>
          <w:color w:val="auto"/>
          <w:spacing w:val="0"/>
          <w:sz w:val="30"/>
          <w:szCs w:val="30"/>
          <w:highlight w:val="none"/>
          <w:shd w:val="clear" w:color="auto" w:fill="FFFFFF"/>
          <w:lang w:eastAsia="zh-CN"/>
        </w:rPr>
      </w:pPr>
      <w:r>
        <w:rPr>
          <w:rFonts w:hint="eastAsia" w:ascii="仿宋_GB2312" w:hAnsi="仿宋_GB2312" w:eastAsia="仿宋_GB2312" w:cs="仿宋_GB2312"/>
          <w:b w:val="0"/>
          <w:bCs w:val="0"/>
          <w:color w:val="auto"/>
          <w:kern w:val="2"/>
          <w:sz w:val="30"/>
          <w:szCs w:val="30"/>
          <w:highlight w:val="none"/>
          <w:lang w:val="en-US" w:eastAsia="zh-CN" w:bidi="ar-SA"/>
        </w:rPr>
        <w:t>本人已阅读法律条款、相关政策和个人</w:t>
      </w:r>
      <w:r>
        <w:rPr>
          <w:rFonts w:hint="eastAsia" w:ascii="仿宋_GB2312" w:hAnsi="仿宋_GB2312" w:eastAsia="仿宋_GB2312" w:cs="仿宋_GB2312"/>
          <w:b w:val="0"/>
          <w:bCs w:val="0"/>
          <w:i w:val="0"/>
          <w:iCs w:val="0"/>
          <w:caps w:val="0"/>
          <w:color w:val="auto"/>
          <w:spacing w:val="0"/>
          <w:sz w:val="30"/>
          <w:szCs w:val="30"/>
          <w:highlight w:val="none"/>
          <w:shd w:val="clear" w:color="auto" w:fill="FFFFFF"/>
          <w:lang w:val="en-US" w:eastAsia="zh-CN"/>
        </w:rPr>
        <w:t>权益等内容，且无异议</w:t>
      </w:r>
      <w:r>
        <w:rPr>
          <w:rFonts w:hint="eastAsia" w:ascii="仿宋_GB2312" w:hAnsi="仿宋_GB2312" w:eastAsia="仿宋_GB2312" w:cs="仿宋_GB2312"/>
          <w:b w:val="0"/>
          <w:bCs w:val="0"/>
          <w:i w:val="0"/>
          <w:iCs w:val="0"/>
          <w:caps w:val="0"/>
          <w:color w:val="auto"/>
          <w:spacing w:val="0"/>
          <w:sz w:val="30"/>
          <w:szCs w:val="30"/>
          <w:highlight w:val="none"/>
          <w:shd w:val="clear" w:color="auto" w:fill="FFFFFF"/>
          <w:lang w:eastAsia="zh-CN"/>
        </w:rPr>
        <w:t>。</w:t>
      </w:r>
    </w:p>
    <w:p>
      <w:pPr>
        <w:keepNext w:val="0"/>
        <w:keepLines w:val="0"/>
        <w:pageBreakBefore w:val="0"/>
        <w:widowControl w:val="0"/>
        <w:kinsoku/>
        <w:wordWrap/>
        <w:overflowPunct w:val="0"/>
        <w:topLinePunct w:val="0"/>
        <w:autoSpaceDE/>
        <w:autoSpaceDN/>
        <w:bidi w:val="0"/>
        <w:adjustRightInd w:val="0"/>
        <w:snapToGrid w:val="0"/>
        <w:spacing w:line="390" w:lineRule="exact"/>
        <w:ind w:firstLine="1200" w:firstLineChars="400"/>
        <w:jc w:val="left"/>
        <w:textAlignment w:val="auto"/>
      </w:pPr>
      <w:r>
        <w:rPr>
          <w:rFonts w:hint="eastAsia" w:ascii="仿宋_GB2312" w:hAnsi="仿宋_GB2312" w:eastAsia="仿宋_GB2312" w:cs="仿宋_GB2312"/>
          <w:b w:val="0"/>
          <w:bCs w:val="0"/>
          <w:color w:val="auto"/>
          <w:sz w:val="30"/>
          <w:szCs w:val="30"/>
          <w:highlight w:val="none"/>
          <w:lang w:val="en-US" w:eastAsia="zh-CN"/>
        </w:rPr>
        <w:t>申请人签字：                       日期：</w:t>
      </w:r>
    </w:p>
    <w:bookmarkEnd w:id="0"/>
    <w:sectPr>
      <w:footerReference r:id="rId3" w:type="default"/>
      <w:pgSz w:w="11906" w:h="16838"/>
      <w:pgMar w:top="720" w:right="720" w:bottom="720" w:left="720" w:header="851" w:footer="1417"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圆B5"/>
    <w:panose1 w:val="02010600030101010101"/>
    <w:charset w:val="00"/>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黑体">
    <w:altName w:val="方正黑体_GBK"/>
    <w:panose1 w:val="02010600030101010101"/>
    <w:charset w:val="00"/>
    <w:family w:val="auto"/>
    <w:pitch w:val="default"/>
    <w:sig w:usb0="00000001" w:usb1="080E0000" w:usb2="00000000" w:usb3="00000000" w:csb0="00040000" w:csb1="00000000"/>
  </w:font>
  <w:font w:name="仿宋_GB2312">
    <w:altName w:val="方正仿宋_GBK"/>
    <w:panose1 w:val="02010609030101010101"/>
    <w:charset w:val="00"/>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汉仪中圆B5">
    <w:panose1 w:val="02010600000101010101"/>
    <w:charset w:val="88"/>
    <w:family w:val="auto"/>
    <w:pitch w:val="default"/>
    <w:sig w:usb0="00000001" w:usb1="080E0800" w:usb2="00000002"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4"/>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 </w:t>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  \* MERGEFORMAT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12</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sz w:val="28"/>
                              <w:szCs w:val="28"/>
                            </w:rPr>
                            <w:t xml:space="preserve"> —</w:t>
                          </w:r>
                        </w:p>
                      </w:txbxContent>
                    </wps:txbx>
                    <wps:bodyPr wrap="none" lIns="0" tIns="0" rIns="0" bIns="0" upright="fals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CzSVju0AAAAAUBAAAPAAAAAAAAAAEAIAAAADgA&#10;AABkcnMvZG93bnJldi54bWxQSwECFAAUAAAACACHTuJAwvgoDsIBAABpAwAADgAAAAAAAAABACAA&#10;AAA1AQAAZHJzL2Uyb0RvYy54bWxQSwUGAAAAAAYABgBZAQAAaQUAAAAA&#10;">
              <v:fill on="f" focussize="0,0"/>
              <v:stroke on="f" weight="0.5pt"/>
              <v:imagedata o:title=""/>
              <o:lock v:ext="edit" aspectratio="f"/>
              <v:textbox inset="0mm,0mm,0mm,0mm" style="mso-fit-shape-to-text:t;">
                <w:txbxContent>
                  <w:p>
                    <w:pPr>
                      <w:pStyle w:val="4"/>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 </w:t>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  \* MERGEFORMAT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12</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DDBD00"/>
    <w:rsid w:val="0FDDBD00"/>
    <w:rsid w:val="FFFBA18D"/>
    <w:rsid w:val="FFFF54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2">
    <w:name w:val="footnote text"/>
    <w:basedOn w:val="1"/>
    <w:qFormat/>
    <w:uiPriority w:val="0"/>
    <w:pPr>
      <w:snapToGrid w:val="0"/>
      <w:jc w:val="left"/>
    </w:pPr>
    <w:rPr>
      <w:rFonts w:ascii="等线" w:hAnsi="等线" w:eastAsia="等线"/>
      <w:sz w:val="21"/>
      <w:szCs w:val="22"/>
    </w:rPr>
  </w:style>
  <w:style w:type="paragraph" w:styleId="3">
    <w:name w:val="Body Text Indent"/>
    <w:basedOn w:val="1"/>
    <w:qFormat/>
    <w:uiPriority w:val="0"/>
    <w:pPr>
      <w:spacing w:line="240" w:lineRule="auto"/>
      <w:ind w:firstLine="1920" w:firstLineChars="600"/>
    </w:pPr>
    <w:rPr>
      <w:szCs w:val="24"/>
    </w:rPr>
  </w:style>
  <w:style w:type="paragraph" w:styleId="4">
    <w:name w:val="footer"/>
    <w:basedOn w:val="1"/>
    <w:qFormat/>
    <w:uiPriority w:val="0"/>
    <w:pPr>
      <w:tabs>
        <w:tab w:val="center" w:pos="4153"/>
        <w:tab w:val="right" w:pos="8306"/>
      </w:tabs>
      <w:snapToGrid w:val="0"/>
      <w:jc w:val="left"/>
    </w:pPr>
    <w:rPr>
      <w:sz w:val="18"/>
    </w:rPr>
  </w:style>
  <w:style w:type="paragraph" w:styleId="5">
    <w:name w:val="Body Text First Indent 2"/>
    <w:basedOn w:val="3"/>
    <w:qFormat/>
    <w:uiPriority w:val="0"/>
    <w:pPr>
      <w:spacing w:after="120" w:line="580" w:lineRule="exact"/>
      <w:ind w:left="420" w:leftChars="200" w:firstLine="420" w:firstLineChars="200"/>
    </w:pPr>
    <w:rPr>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5.66666666666667</TotalTime>
  <ScaleCrop>false</ScaleCrop>
  <LinksUpToDate>false</LinksUpToDate>
  <CharactersWithSpaces>0</CharactersWithSpaces>
  <Application>WPS Office_11.8.2.10195_F1E327BC-269C-435d-A152-05C5408002CA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2025-11-19T03:09:00Z</dcterms:created>
  <dc:creator>李琮琮</dc:creator>
  <cp:lastModifiedBy>rst</cp:lastModifiedBy>
  <dcterms:modified xsi:type="dcterms:W3CDTF">2026-07-06T11:19:48Z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