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7"/>
        <w:keepNext w:val="false"/>
        <w:keepLines w:val="false"/>
        <w:pageBreakBefore w:val="false"/>
        <w:widowControl/>
        <w:suppressLineNumbers w:val="0"/>
        <w:pBdr/>
        <w:shd w:fill="FFFFFF" w:val="clear"/>
        <w:kinsoku w:val="true"/>
        <w:overflowPunct w:val="true"/>
        <w:autoSpaceDE w:val="true"/>
        <w:bidi w:val="0"/>
        <w:snapToGrid w:val="true"/>
        <w:spacing w:lineRule="exact" w:line="580" w:before="0" w:after="0"/>
        <w:ind w:end="0"/>
        <w:jc w:val="center"/>
        <w:textAlignment w:val="auto"/>
        <w:rPr>
          <w:rFonts w:ascii="方正小标宋简体" w:hAnsi="方正小标宋简体" w:eastAsia="方正小标宋简体" w:cs="方正小标宋简体" w:hint="eastAsia"/>
          <w:i w:val="false"/>
          <w:iCs w:val="false"/>
          <w:caps w:val="false"/>
          <w:smallCaps w:val="false"/>
          <w:color w:val="444444"/>
          <w:spacing w:val="0"/>
          <w:sz w:val="44"/>
          <w:szCs w:val="44"/>
          <w:shd w:fill="FFFFFF" w:val="clear"/>
        </w:rPr>
      </w:pPr>
      <w:r>
        <w:rPr>
          <w:rFonts w:ascii="方正小标宋简体" w:hAnsi="方正小标宋简体" w:cs="方正小标宋简体" w:hint="eastAsia" w:eastAsia="方正小标宋简体"/>
          <w:i w:val="false"/>
          <w:iCs w:val="false"/>
          <w:caps w:val="false"/>
          <w:smallCaps w:val="false"/>
          <w:color w:val="444444"/>
          <w:spacing w:val="0"/>
          <w:sz w:val="44"/>
          <w:szCs w:val="44"/>
          <w:shd w:fill="FFFFFF" w:val="clear"/>
        </w:rPr>
        <w:t>风险评估报告、风险防范及应急处置预案、安全工作方案、赛事活动“熔断”机制、赛事活动组织方案等材料</w:t>
      </w:r>
    </w:p>
    <w:p>
      <w:pPr>
        <w:pStyle w:val="Style17"/>
        <w:keepNext w:val="false"/>
        <w:keepLines w:val="false"/>
        <w:pageBreakBefore w:val="false"/>
        <w:widowControl/>
        <w:suppressLineNumbers w:val="0"/>
        <w:pBdr/>
        <w:shd w:fill="FFFFFF" w:val="clear"/>
        <w:kinsoku w:val="true"/>
        <w:overflowPunct w:val="true"/>
        <w:autoSpaceDE w:val="true"/>
        <w:bidi w:val="0"/>
        <w:snapToGrid w:val="true"/>
        <w:spacing w:lineRule="exact" w:line="580" w:before="0" w:after="0"/>
        <w:ind w:end="0"/>
        <w:jc w:val="both"/>
        <w:textAlignment w:val="auto"/>
        <w:rPr>
          <w:rFonts w:ascii="仿宋_GB2312" w:hAnsi="仿宋_GB2312" w:eastAsia="仿宋_GB2312" w:cs="仿宋_GB2312" w:hint="eastAsia"/>
          <w:i w:val="false"/>
          <w:iCs w:val="false"/>
          <w:caps w:val="false"/>
          <w:smallCaps w:val="false"/>
          <w:color w:val="444444"/>
          <w:spacing w:val="0"/>
          <w:sz w:val="32"/>
          <w:szCs w:val="32"/>
          <w:shd w:fill="FFFFFF" w:val="clear"/>
        </w:rPr>
      </w:pPr>
      <w:r>
        <w:rPr>
          <w:rFonts w:eastAsia="仿宋_GB2312" w:cs="仿宋_GB2312" w:hint="eastAsia" w:ascii="仿宋_GB2312" w:hAnsi="仿宋_GB2312"/>
          <w:i w:val="false"/>
          <w:iCs w:val="false"/>
          <w:caps w:val="false"/>
          <w:smallCaps w:val="false"/>
          <w:color w:val="444444"/>
          <w:spacing w:val="0"/>
          <w:sz w:val="32"/>
          <w:szCs w:val="32"/>
          <w:shd w:fill="FFFFFF" w:val="clear"/>
        </w:rPr>
      </w:r>
    </w:p>
    <w:p>
      <w:pPr>
        <w:pStyle w:val="Style17"/>
        <w:keepNext w:val="false"/>
        <w:keepLines w:val="false"/>
        <w:pageBreakBefore w:val="false"/>
        <w:widowControl/>
        <w:suppressLineNumbers w:val="0"/>
        <w:pBdr/>
        <w:shd w:fill="FFFFFF" w:val="clear"/>
        <w:kinsoku w:val="true"/>
        <w:overflowPunct w:val="true"/>
        <w:autoSpaceDE w:val="true"/>
        <w:bidi w:val="0"/>
        <w:snapToGrid w:val="true"/>
        <w:spacing w:lineRule="exact" w:line="580" w:before="0" w:after="0"/>
        <w:ind w:end="0"/>
        <w:jc w:val="both"/>
        <w:textAlignment w:val="auto"/>
        <w:rPr>
          <w:rFonts w:ascii="黑体" w:hAnsi="黑体" w:eastAsia="黑体" w:cs="黑体"/>
          <w:i w:val="false"/>
          <w:iCs w:val="false"/>
          <w:caps w:val="false"/>
          <w:smallCaps w:val="false"/>
          <w:color w:val="444444"/>
          <w:spacing w:val="0"/>
          <w:sz w:val="31"/>
          <w:szCs w:val="31"/>
          <w:shd w:fill="FFFFFF" w:val="clear"/>
        </w:rPr>
      </w:pPr>
      <w:r>
        <w:rPr>
          <w:rFonts w:ascii="仿宋_GB2312" w:hAnsi="仿宋_GB2312" w:cs="仿宋_GB2312" w:hint="eastAsia" w:eastAsia="仿宋_GB2312"/>
          <w:i w:val="false"/>
          <w:iCs w:val="false"/>
          <w:caps w:val="false"/>
          <w:smallCaps w:val="false"/>
          <w:color w:val="444444"/>
          <w:spacing w:val="0"/>
          <w:sz w:val="32"/>
          <w:szCs w:val="32"/>
          <w:shd w:fill="FFFFFF" w:val="clear"/>
        </w:rPr>
        <w:t>《体育赛事活动管理办法》</w:t>
      </w:r>
      <w:r>
        <w:rPr>
          <w:rFonts w:eastAsia="仿宋_GB2312" w:cs="仿宋_GB2312" w:ascii="仿宋_GB2312" w:hAnsi="仿宋_GB2312"/>
          <w:i w:val="false"/>
          <w:iCs w:val="false"/>
          <w:caps w:val="false"/>
          <w:smallCaps w:val="false"/>
          <w:color w:val="444444"/>
          <w:spacing w:val="0"/>
          <w:sz w:val="32"/>
          <w:szCs w:val="32"/>
          <w:shd w:fill="FFFFFF" w:val="clear"/>
        </w:rPr>
        <w:t>(2023</w:t>
      </w:r>
      <w:r>
        <w:rPr>
          <w:rFonts w:ascii="仿宋_GB2312" w:hAnsi="仿宋_GB2312" w:cs="仿宋_GB2312" w:eastAsia="仿宋_GB2312"/>
          <w:i w:val="false"/>
          <w:iCs w:val="false"/>
          <w:caps w:val="false"/>
          <w:smallCaps w:val="false"/>
          <w:color w:val="444444"/>
          <w:spacing w:val="0"/>
          <w:sz w:val="32"/>
          <w:szCs w:val="32"/>
          <w:shd w:fill="FFFFFF" w:val="clear"/>
        </w:rPr>
        <w:t>年</w:t>
      </w:r>
      <w:r>
        <w:rPr>
          <w:rFonts w:eastAsia="仿宋_GB2312" w:cs="仿宋_GB2312" w:ascii="仿宋_GB2312" w:hAnsi="仿宋_GB2312"/>
          <w:i w:val="false"/>
          <w:iCs w:val="false"/>
          <w:caps w:val="false"/>
          <w:smallCaps w:val="false"/>
          <w:color w:val="444444"/>
          <w:spacing w:val="0"/>
          <w:sz w:val="32"/>
          <w:szCs w:val="32"/>
          <w:shd w:fill="FFFFFF" w:val="clear"/>
        </w:rPr>
        <w:t>1</w:t>
      </w:r>
      <w:r>
        <w:rPr>
          <w:rFonts w:ascii="仿宋_GB2312" w:hAnsi="仿宋_GB2312" w:cs="仿宋_GB2312" w:eastAsia="仿宋_GB2312"/>
          <w:i w:val="false"/>
          <w:iCs w:val="false"/>
          <w:caps w:val="false"/>
          <w:smallCaps w:val="false"/>
          <w:color w:val="444444"/>
          <w:spacing w:val="0"/>
          <w:sz w:val="32"/>
          <w:szCs w:val="32"/>
          <w:shd w:fill="FFFFFF" w:val="clear"/>
        </w:rPr>
        <w:t>月</w:t>
      </w:r>
      <w:r>
        <w:rPr>
          <w:rFonts w:eastAsia="仿宋_GB2312" w:cs="仿宋_GB2312" w:ascii="仿宋_GB2312" w:hAnsi="仿宋_GB2312"/>
          <w:i w:val="false"/>
          <w:iCs w:val="false"/>
          <w:caps w:val="false"/>
          <w:smallCaps w:val="false"/>
          <w:color w:val="444444"/>
          <w:spacing w:val="0"/>
          <w:sz w:val="32"/>
          <w:szCs w:val="32"/>
          <w:shd w:fill="FFFFFF" w:val="clear"/>
        </w:rPr>
        <w:t>1</w:t>
      </w:r>
      <w:r>
        <w:rPr>
          <w:rFonts w:ascii="仿宋_GB2312" w:hAnsi="仿宋_GB2312" w:cs="仿宋_GB2312" w:eastAsia="仿宋_GB2312"/>
          <w:i w:val="false"/>
          <w:iCs w:val="false"/>
          <w:caps w:val="false"/>
          <w:smallCaps w:val="false"/>
          <w:color w:val="444444"/>
          <w:spacing w:val="0"/>
          <w:sz w:val="32"/>
          <w:szCs w:val="32"/>
          <w:shd w:fill="FFFFFF" w:val="clear"/>
        </w:rPr>
        <w:t>日国家体育总局令第</w:t>
      </w:r>
      <w:r>
        <w:rPr>
          <w:rFonts w:eastAsia="仿宋_GB2312" w:cs="仿宋_GB2312" w:ascii="仿宋_GB2312" w:hAnsi="仿宋_GB2312"/>
          <w:i w:val="false"/>
          <w:iCs w:val="false"/>
          <w:caps w:val="false"/>
          <w:smallCaps w:val="false"/>
          <w:color w:val="444444"/>
          <w:spacing w:val="0"/>
          <w:sz w:val="32"/>
          <w:szCs w:val="32"/>
          <w:shd w:fill="FFFFFF" w:val="clear"/>
        </w:rPr>
        <w:t>31</w:t>
      </w:r>
      <w:r>
        <w:rPr>
          <w:rFonts w:ascii="仿宋_GB2312" w:hAnsi="仿宋_GB2312" w:cs="仿宋_GB2312" w:eastAsia="仿宋_GB2312"/>
          <w:i w:val="false"/>
          <w:iCs w:val="false"/>
          <w:caps w:val="false"/>
          <w:smallCaps w:val="false"/>
          <w:color w:val="444444"/>
          <w:spacing w:val="0"/>
          <w:sz w:val="32"/>
          <w:szCs w:val="32"/>
          <w:shd w:fill="FFFFFF" w:val="clear"/>
        </w:rPr>
        <w:t>号发布</w:t>
      </w:r>
      <w:r>
        <w:rPr>
          <w:rFonts w:eastAsia="仿宋_GB2312" w:cs="仿宋_GB2312" w:ascii="仿宋_GB2312" w:hAnsi="仿宋_GB2312"/>
          <w:i w:val="false"/>
          <w:iCs w:val="false"/>
          <w:caps w:val="false"/>
          <w:smallCaps w:val="false"/>
          <w:color w:val="444444"/>
          <w:spacing w:val="0"/>
          <w:sz w:val="32"/>
          <w:szCs w:val="32"/>
          <w:shd w:fill="FFFFFF" w:val="clear"/>
        </w:rPr>
        <w:t>)</w:t>
      </w:r>
    </w:p>
    <w:p>
      <w:pPr>
        <w:pStyle w:val="Style17"/>
        <w:keepNext w:val="false"/>
        <w:keepLines w:val="false"/>
        <w:pageBreakBefore w:val="false"/>
        <w:widowControl/>
        <w:suppressLineNumbers w:val="0"/>
        <w:pBdr/>
        <w:shd w:fill="FFFFFF" w:val="clear"/>
        <w:kinsoku w:val="true"/>
        <w:overflowPunct w:val="true"/>
        <w:autoSpaceDE w:val="true"/>
        <w:bidi w:val="0"/>
        <w:snapToGrid w:val="true"/>
        <w:spacing w:lineRule="exact" w:line="580" w:before="0" w:after="0"/>
        <w:ind w:firstLine="420" w:end="0"/>
        <w:jc w:val="both"/>
        <w:textAlignment w:val="auto"/>
        <w:rPr>
          <w:rFonts w:ascii="fangsong;C059" w:hAnsi="fangsong;C059" w:eastAsia="fangsong;C059" w:cs="fangsong;C059"/>
          <w:i w:val="false"/>
          <w:iCs w:val="false"/>
          <w:caps w:val="false"/>
          <w:smallCaps w:val="false"/>
          <w:color w:val="444444"/>
          <w:spacing w:val="0"/>
          <w:sz w:val="32"/>
          <w:szCs w:val="32"/>
        </w:rPr>
      </w:pPr>
      <w:r>
        <w:rPr>
          <w:rFonts w:ascii="黑体" w:hAnsi="黑体" w:cs="黑体" w:eastAsia="黑体"/>
          <w:i w:val="false"/>
          <w:iCs w:val="false"/>
          <w:caps w:val="false"/>
          <w:smallCaps w:val="false"/>
          <w:color w:val="444444"/>
          <w:spacing w:val="0"/>
          <w:sz w:val="31"/>
          <w:szCs w:val="31"/>
          <w:shd w:fill="FFFFFF" w:val="clear"/>
        </w:rPr>
        <w:t>第二十七条</w:t>
      </w:r>
      <w:r>
        <w:rPr>
          <w:rFonts w:ascii="仿宋_GB2312" w:hAnsi="仿宋_GB2312" w:cs="仿宋_GB2312" w:eastAsia="仿宋_GB2312"/>
          <w:i w:val="false"/>
          <w:iCs w:val="false"/>
          <w:caps w:val="false"/>
          <w:smallCaps w:val="false"/>
          <w:color w:val="444444"/>
          <w:spacing w:val="0"/>
          <w:sz w:val="31"/>
          <w:szCs w:val="31"/>
          <w:shd w:fill="FFFFFF" w:val="clear"/>
        </w:rPr>
        <w:t> </w:t>
      </w:r>
      <w:r>
        <w:rPr>
          <w:rFonts w:ascii="仿宋_GB2312" w:hAnsi="仿宋_GB2312" w:cs="仿宋_GB2312" w:hint="eastAsia" w:eastAsia="仿宋_GB2312"/>
          <w:i w:val="false"/>
          <w:iCs w:val="false"/>
          <w:caps w:val="false"/>
          <w:smallCaps w:val="false"/>
          <w:color w:val="444444"/>
          <w:spacing w:val="0"/>
          <w:sz w:val="31"/>
          <w:szCs w:val="31"/>
          <w:shd w:fill="FFFFFF" w:val="clear"/>
        </w:rPr>
        <w:t>建立体育赛事活动“熔断”机制。</w:t>
      </w:r>
    </w:p>
    <w:p>
      <w:pPr>
        <w:pStyle w:val="Style17"/>
        <w:keepNext w:val="false"/>
        <w:keepLines w:val="false"/>
        <w:pageBreakBefore w:val="false"/>
        <w:widowControl/>
        <w:suppressLineNumbers w:val="0"/>
        <w:pBdr/>
        <w:shd w:fill="FFFFFF" w:val="clear"/>
        <w:kinsoku w:val="true"/>
        <w:overflowPunct w:val="true"/>
        <w:autoSpaceDE w:val="true"/>
        <w:bidi w:val="0"/>
        <w:snapToGrid w:val="true"/>
        <w:spacing w:lineRule="exact" w:line="580" w:before="0" w:after="0"/>
        <w:ind w:firstLine="420" w:end="0"/>
        <w:jc w:val="both"/>
        <w:textAlignment w:val="auto"/>
        <w:rPr>
          <w:rFonts w:ascii="仿宋_GB2312" w:hAnsi="仿宋_GB2312" w:eastAsia="仿宋_GB2312" w:cs="仿宋_GB2312" w:hint="eastAsia"/>
          <w:i w:val="false"/>
          <w:iCs w:val="false"/>
          <w:caps w:val="false"/>
          <w:smallCaps w:val="false"/>
          <w:color w:val="444444"/>
          <w:spacing w:val="0"/>
          <w:sz w:val="32"/>
          <w:szCs w:val="32"/>
        </w:rPr>
      </w:pPr>
      <w:r>
        <w:rPr>
          <w:rFonts w:ascii="仿宋_GB2312" w:hAnsi="仿宋_GB2312" w:cs="仿宋_GB2312" w:hint="eastAsia" w:eastAsia="仿宋_GB2312"/>
          <w:i w:val="false"/>
          <w:iCs w:val="false"/>
          <w:caps w:val="false"/>
          <w:smallCaps w:val="false"/>
          <w:color w:val="444444"/>
          <w:spacing w:val="0"/>
          <w:sz w:val="32"/>
          <w:szCs w:val="32"/>
          <w:shd w:fill="FFFFFF" w:val="clear"/>
        </w:rPr>
        <w:t>（一）主办方、承办方、协办方等体育赛事活动组织者应当密切关注气象、水利、地震、自然资源、交通运输、卫生健康、应急管理等部门发出的预警信息及有关灾害、事故信息，遇有下列直接或可能与体育赛事活动举办相关联的突发情形之一的，应当及时启动“熔断”机制，中止比赛：</w:t>
      </w:r>
    </w:p>
    <w:p>
      <w:pPr>
        <w:pStyle w:val="Style17"/>
        <w:keepNext w:val="false"/>
        <w:keepLines w:val="false"/>
        <w:pageBreakBefore w:val="false"/>
        <w:widowControl/>
        <w:suppressLineNumbers w:val="0"/>
        <w:pBdr/>
        <w:shd w:fill="FFFFFF" w:val="clear"/>
        <w:kinsoku w:val="true"/>
        <w:overflowPunct w:val="true"/>
        <w:autoSpaceDE w:val="true"/>
        <w:bidi w:val="0"/>
        <w:snapToGrid w:val="true"/>
        <w:spacing w:lineRule="exact" w:line="580" w:before="0" w:after="0"/>
        <w:ind w:firstLine="420" w:end="0"/>
        <w:jc w:val="both"/>
        <w:textAlignment w:val="auto"/>
        <w:rPr>
          <w:rFonts w:ascii="仿宋_GB2312" w:hAnsi="仿宋_GB2312" w:eastAsia="仿宋_GB2312" w:cs="仿宋_GB2312" w:hint="eastAsia"/>
          <w:i w:val="false"/>
          <w:iCs w:val="false"/>
          <w:caps w:val="false"/>
          <w:smallCaps w:val="false"/>
          <w:color w:val="444444"/>
          <w:spacing w:val="0"/>
          <w:sz w:val="32"/>
          <w:szCs w:val="32"/>
        </w:rPr>
      </w:pPr>
      <w:r>
        <w:rPr>
          <w:rFonts w:ascii="仿宋_GB2312" w:hAnsi="仿宋_GB2312" w:cs="仿宋_GB2312" w:hint="eastAsia" w:eastAsia="仿宋_GB2312"/>
          <w:i w:val="false"/>
          <w:iCs w:val="false"/>
          <w:caps w:val="false"/>
          <w:smallCaps w:val="false"/>
          <w:color w:val="444444"/>
          <w:spacing w:val="0"/>
          <w:sz w:val="32"/>
          <w:szCs w:val="32"/>
          <w:shd w:fill="FFFFFF" w:val="clear"/>
        </w:rPr>
        <w:t>自然灾害，包括水旱灾害、气象灾害、地震灾害、地质灾害、海洋灾害、生物灾害和森林草原火灾等；</w:t>
      </w:r>
    </w:p>
    <w:p>
      <w:pPr>
        <w:pStyle w:val="Style17"/>
        <w:keepNext w:val="false"/>
        <w:keepLines w:val="false"/>
        <w:pageBreakBefore w:val="false"/>
        <w:widowControl/>
        <w:suppressLineNumbers w:val="0"/>
        <w:pBdr/>
        <w:shd w:fill="FFFFFF" w:val="clear"/>
        <w:kinsoku w:val="true"/>
        <w:overflowPunct w:val="true"/>
        <w:autoSpaceDE w:val="true"/>
        <w:bidi w:val="0"/>
        <w:snapToGrid w:val="true"/>
        <w:spacing w:lineRule="exact" w:line="580" w:before="0" w:after="0"/>
        <w:ind w:firstLine="420" w:end="0"/>
        <w:jc w:val="both"/>
        <w:textAlignment w:val="auto"/>
        <w:rPr>
          <w:rFonts w:ascii="仿宋_GB2312" w:hAnsi="仿宋_GB2312" w:eastAsia="仿宋_GB2312" w:cs="仿宋_GB2312" w:hint="eastAsia"/>
          <w:i w:val="false"/>
          <w:iCs w:val="false"/>
          <w:caps w:val="false"/>
          <w:smallCaps w:val="false"/>
          <w:color w:val="444444"/>
          <w:spacing w:val="0"/>
          <w:sz w:val="32"/>
          <w:szCs w:val="32"/>
        </w:rPr>
      </w:pPr>
      <w:r>
        <w:rPr>
          <w:rFonts w:ascii="仿宋_GB2312" w:hAnsi="仿宋_GB2312" w:cs="仿宋_GB2312" w:hint="eastAsia" w:eastAsia="仿宋_GB2312"/>
          <w:i w:val="false"/>
          <w:iCs w:val="false"/>
          <w:caps w:val="false"/>
          <w:smallCaps w:val="false"/>
          <w:color w:val="444444"/>
          <w:spacing w:val="0"/>
          <w:sz w:val="32"/>
          <w:szCs w:val="32"/>
          <w:shd w:fill="FFFFFF" w:val="clear"/>
        </w:rPr>
        <w:t>事故灾难，包括各类安全事故、交通运输事故、公共体育设施和设备事故、环境污染和生态破坏事件等；</w:t>
      </w:r>
    </w:p>
    <w:p>
      <w:pPr>
        <w:pStyle w:val="Style17"/>
        <w:keepNext w:val="false"/>
        <w:keepLines w:val="false"/>
        <w:pageBreakBefore w:val="false"/>
        <w:widowControl/>
        <w:suppressLineNumbers w:val="0"/>
        <w:pBdr/>
        <w:shd w:fill="FFFFFF" w:val="clear"/>
        <w:kinsoku w:val="true"/>
        <w:overflowPunct w:val="true"/>
        <w:autoSpaceDE w:val="true"/>
        <w:bidi w:val="0"/>
        <w:snapToGrid w:val="true"/>
        <w:spacing w:lineRule="exact" w:line="580" w:before="0" w:after="0"/>
        <w:ind w:firstLine="420" w:end="0"/>
        <w:jc w:val="both"/>
        <w:textAlignment w:val="auto"/>
        <w:rPr>
          <w:rFonts w:ascii="仿宋_GB2312" w:hAnsi="仿宋_GB2312" w:eastAsia="仿宋_GB2312" w:cs="仿宋_GB2312" w:hint="eastAsia"/>
          <w:i w:val="false"/>
          <w:iCs w:val="false"/>
          <w:caps w:val="false"/>
          <w:smallCaps w:val="false"/>
          <w:color w:val="444444"/>
          <w:spacing w:val="0"/>
          <w:sz w:val="32"/>
          <w:szCs w:val="32"/>
        </w:rPr>
      </w:pPr>
      <w:r>
        <w:rPr>
          <w:rFonts w:ascii="仿宋_GB2312" w:hAnsi="仿宋_GB2312" w:cs="仿宋_GB2312" w:hint="eastAsia" w:eastAsia="仿宋_GB2312"/>
          <w:i w:val="false"/>
          <w:iCs w:val="false"/>
          <w:caps w:val="false"/>
          <w:smallCaps w:val="false"/>
          <w:color w:val="444444"/>
          <w:spacing w:val="0"/>
          <w:sz w:val="32"/>
          <w:szCs w:val="32"/>
          <w:shd w:fill="FFFFFF" w:val="clear"/>
        </w:rPr>
        <w:t>公共卫生事件，包括传染病疫情、群体性不明原因疾病、食品安全和职业危害、动物疫情以及其他严重影响公众健康和生命安全的事件等；</w:t>
      </w:r>
    </w:p>
    <w:p>
      <w:pPr>
        <w:pStyle w:val="Style17"/>
        <w:keepNext w:val="false"/>
        <w:keepLines w:val="false"/>
        <w:pageBreakBefore w:val="false"/>
        <w:widowControl/>
        <w:suppressLineNumbers w:val="0"/>
        <w:pBdr/>
        <w:shd w:fill="FFFFFF" w:val="clear"/>
        <w:kinsoku w:val="true"/>
        <w:overflowPunct w:val="true"/>
        <w:autoSpaceDE w:val="true"/>
        <w:bidi w:val="0"/>
        <w:snapToGrid w:val="true"/>
        <w:spacing w:lineRule="exact" w:line="580" w:before="0" w:after="0"/>
        <w:ind w:firstLine="420" w:end="0"/>
        <w:jc w:val="both"/>
        <w:textAlignment w:val="auto"/>
        <w:rPr>
          <w:rFonts w:ascii="仿宋_GB2312" w:hAnsi="仿宋_GB2312" w:eastAsia="仿宋_GB2312" w:cs="仿宋_GB2312" w:hint="eastAsia"/>
          <w:i w:val="false"/>
          <w:iCs w:val="false"/>
          <w:caps w:val="false"/>
          <w:smallCaps w:val="false"/>
          <w:color w:val="444444"/>
          <w:spacing w:val="0"/>
          <w:sz w:val="32"/>
          <w:szCs w:val="32"/>
        </w:rPr>
      </w:pPr>
      <w:r>
        <w:rPr>
          <w:rFonts w:ascii="仿宋_GB2312" w:hAnsi="仿宋_GB2312" w:cs="仿宋_GB2312" w:hint="eastAsia" w:eastAsia="仿宋_GB2312"/>
          <w:i w:val="false"/>
          <w:iCs w:val="false"/>
          <w:caps w:val="false"/>
          <w:smallCaps w:val="false"/>
          <w:color w:val="444444"/>
          <w:spacing w:val="0"/>
          <w:sz w:val="32"/>
          <w:szCs w:val="32"/>
          <w:shd w:fill="FFFFFF" w:val="clear"/>
        </w:rPr>
        <w:t>社会安全事件，包括恐怖袭击事件、经济安全事件和涉外突发事件等；</w:t>
      </w:r>
    </w:p>
    <w:p>
      <w:pPr>
        <w:pStyle w:val="Style17"/>
        <w:keepNext w:val="false"/>
        <w:keepLines w:val="false"/>
        <w:pageBreakBefore w:val="false"/>
        <w:widowControl/>
        <w:suppressLineNumbers w:val="0"/>
        <w:pBdr/>
        <w:shd w:fill="FFFFFF" w:val="clear"/>
        <w:kinsoku w:val="true"/>
        <w:overflowPunct w:val="true"/>
        <w:autoSpaceDE w:val="true"/>
        <w:bidi w:val="0"/>
        <w:snapToGrid w:val="true"/>
        <w:spacing w:lineRule="exact" w:line="580" w:before="0" w:after="0"/>
        <w:ind w:firstLine="420" w:end="0"/>
        <w:jc w:val="both"/>
        <w:textAlignment w:val="auto"/>
        <w:rPr>
          <w:rFonts w:ascii="仿宋_GB2312" w:hAnsi="仿宋_GB2312" w:eastAsia="仿宋_GB2312" w:cs="仿宋_GB2312" w:hint="eastAsia"/>
          <w:i w:val="false"/>
          <w:iCs w:val="false"/>
          <w:caps w:val="false"/>
          <w:smallCaps w:val="false"/>
          <w:color w:val="444444"/>
          <w:spacing w:val="0"/>
          <w:sz w:val="32"/>
          <w:szCs w:val="32"/>
        </w:rPr>
      </w:pPr>
      <w:r>
        <w:rPr>
          <w:rFonts w:ascii="仿宋_GB2312" w:hAnsi="仿宋_GB2312" w:cs="仿宋_GB2312" w:hint="eastAsia" w:eastAsia="仿宋_GB2312"/>
          <w:i w:val="false"/>
          <w:iCs w:val="false"/>
          <w:caps w:val="false"/>
          <w:smallCaps w:val="false"/>
          <w:color w:val="444444"/>
          <w:spacing w:val="0"/>
          <w:sz w:val="32"/>
          <w:szCs w:val="32"/>
          <w:shd w:fill="FFFFFF" w:val="clear"/>
        </w:rPr>
        <w:t>其他可能导致不再具备办赛条件的。</w:t>
      </w:r>
    </w:p>
    <w:p>
      <w:pPr>
        <w:pStyle w:val="Style17"/>
        <w:keepNext w:val="false"/>
        <w:keepLines w:val="false"/>
        <w:pageBreakBefore w:val="false"/>
        <w:widowControl/>
        <w:suppressLineNumbers w:val="0"/>
        <w:pBdr/>
        <w:shd w:fill="FFFFFF" w:val="clear"/>
        <w:kinsoku w:val="true"/>
        <w:overflowPunct w:val="true"/>
        <w:autoSpaceDE w:val="true"/>
        <w:bidi w:val="0"/>
        <w:snapToGrid w:val="true"/>
        <w:spacing w:lineRule="exact" w:line="580" w:before="0" w:after="0"/>
        <w:ind w:firstLine="420" w:end="0"/>
        <w:jc w:val="both"/>
        <w:textAlignment w:val="auto"/>
        <w:rPr>
          <w:rFonts w:ascii="仿宋_GB2312" w:hAnsi="仿宋_GB2312" w:eastAsia="仿宋_GB2312" w:cs="仿宋_GB2312" w:hint="eastAsia"/>
          <w:i w:val="false"/>
          <w:iCs w:val="false"/>
          <w:caps w:val="false"/>
          <w:smallCaps w:val="false"/>
          <w:color w:val="444444"/>
          <w:spacing w:val="0"/>
          <w:sz w:val="32"/>
          <w:szCs w:val="32"/>
        </w:rPr>
      </w:pPr>
      <w:r>
        <w:rPr>
          <w:rFonts w:ascii="仿宋_GB2312" w:hAnsi="仿宋_GB2312" w:cs="仿宋_GB2312" w:hint="eastAsia" w:eastAsia="仿宋_GB2312"/>
          <w:i w:val="false"/>
          <w:iCs w:val="false"/>
          <w:caps w:val="false"/>
          <w:smallCaps w:val="false"/>
          <w:color w:val="444444"/>
          <w:spacing w:val="0"/>
          <w:sz w:val="32"/>
          <w:szCs w:val="32"/>
          <w:shd w:fill="FFFFFF" w:val="clear"/>
        </w:rPr>
        <w:t>（二）体育赛事活动组织者无法判定是否启动“熔断”机制时，应当采取下列措施：</w:t>
      </w:r>
    </w:p>
    <w:p>
      <w:pPr>
        <w:pStyle w:val="Style17"/>
        <w:keepNext w:val="false"/>
        <w:keepLines w:val="false"/>
        <w:pageBreakBefore w:val="false"/>
        <w:widowControl/>
        <w:suppressLineNumbers w:val="0"/>
        <w:pBdr/>
        <w:shd w:fill="FFFFFF" w:val="clear"/>
        <w:kinsoku w:val="true"/>
        <w:overflowPunct w:val="true"/>
        <w:autoSpaceDE w:val="true"/>
        <w:bidi w:val="0"/>
        <w:snapToGrid w:val="true"/>
        <w:spacing w:lineRule="exact" w:line="580" w:before="0" w:after="0"/>
        <w:ind w:firstLine="420" w:end="0"/>
        <w:jc w:val="both"/>
        <w:textAlignment w:val="auto"/>
        <w:rPr>
          <w:rFonts w:ascii="仿宋_GB2312" w:hAnsi="仿宋_GB2312" w:eastAsia="仿宋_GB2312" w:cs="仿宋_GB2312" w:hint="eastAsia"/>
          <w:i w:val="false"/>
          <w:iCs w:val="false"/>
          <w:caps w:val="false"/>
          <w:smallCaps w:val="false"/>
          <w:color w:val="444444"/>
          <w:spacing w:val="0"/>
          <w:sz w:val="32"/>
          <w:szCs w:val="32"/>
        </w:rPr>
      </w:pPr>
      <w:r>
        <w:rPr>
          <w:rFonts w:ascii="仿宋_GB2312" w:hAnsi="仿宋_GB2312" w:cs="仿宋_GB2312" w:hint="eastAsia" w:eastAsia="仿宋_GB2312"/>
          <w:i w:val="false"/>
          <w:iCs w:val="false"/>
          <w:caps w:val="false"/>
          <w:smallCaps w:val="false"/>
          <w:color w:val="444444"/>
          <w:spacing w:val="0"/>
          <w:sz w:val="32"/>
          <w:szCs w:val="32"/>
          <w:shd w:fill="FFFFFF" w:val="clear"/>
        </w:rPr>
        <w:t>竞赛组织工作负责人或技术代表有权直接向地方体育行政部门报告，地方体育行政部门应当立即作出是否中止比赛的决定；</w:t>
      </w:r>
    </w:p>
    <w:p>
      <w:pPr>
        <w:pStyle w:val="Style17"/>
        <w:keepNext w:val="false"/>
        <w:keepLines w:val="false"/>
        <w:pageBreakBefore w:val="false"/>
        <w:widowControl/>
        <w:suppressLineNumbers w:val="0"/>
        <w:pBdr/>
        <w:shd w:fill="FFFFFF" w:val="clear"/>
        <w:kinsoku w:val="true"/>
        <w:overflowPunct w:val="true"/>
        <w:autoSpaceDE w:val="true"/>
        <w:bidi w:val="0"/>
        <w:snapToGrid w:val="true"/>
        <w:spacing w:lineRule="exact" w:line="580" w:before="0" w:after="0"/>
        <w:ind w:firstLine="420" w:end="0"/>
        <w:jc w:val="both"/>
        <w:textAlignment w:val="auto"/>
        <w:rPr>
          <w:rFonts w:ascii="仿宋_GB2312" w:hAnsi="仿宋_GB2312" w:eastAsia="仿宋_GB2312" w:cs="仿宋_GB2312" w:hint="eastAsia"/>
          <w:i w:val="false"/>
          <w:iCs w:val="false"/>
          <w:caps w:val="false"/>
          <w:smallCaps w:val="false"/>
          <w:color w:val="444444"/>
          <w:spacing w:val="0"/>
          <w:sz w:val="32"/>
          <w:szCs w:val="32"/>
        </w:rPr>
      </w:pPr>
      <w:r>
        <w:rPr>
          <w:rFonts w:ascii="仿宋_GB2312" w:hAnsi="仿宋_GB2312" w:cs="仿宋_GB2312" w:hint="eastAsia" w:eastAsia="仿宋_GB2312"/>
          <w:i w:val="false"/>
          <w:iCs w:val="false"/>
          <w:caps w:val="false"/>
          <w:smallCaps w:val="false"/>
          <w:color w:val="444444"/>
          <w:spacing w:val="0"/>
          <w:sz w:val="32"/>
          <w:szCs w:val="32"/>
          <w:shd w:fill="FFFFFF" w:val="clear"/>
        </w:rPr>
        <w:t>涉及重大体育赛事活动的，地方体育行政部门应当立即向同级人民政府报告，同级人民政府应当立即作出是否中止比赛的决定；</w:t>
      </w:r>
    </w:p>
    <w:p>
      <w:pPr>
        <w:pStyle w:val="Style17"/>
        <w:keepNext w:val="false"/>
        <w:keepLines w:val="false"/>
        <w:pageBreakBefore w:val="false"/>
        <w:widowControl/>
        <w:suppressLineNumbers w:val="0"/>
        <w:pBdr/>
        <w:shd w:fill="FFFFFF" w:val="clear"/>
        <w:kinsoku w:val="true"/>
        <w:overflowPunct w:val="true"/>
        <w:autoSpaceDE w:val="true"/>
        <w:bidi w:val="0"/>
        <w:snapToGrid w:val="true"/>
        <w:spacing w:lineRule="exact" w:line="580" w:before="0" w:after="0"/>
        <w:ind w:firstLine="420" w:end="0"/>
        <w:jc w:val="both"/>
        <w:textAlignment w:val="auto"/>
        <w:rPr>
          <w:rFonts w:ascii="仿宋_GB2312" w:hAnsi="仿宋_GB2312" w:eastAsia="仿宋_GB2312" w:cs="仿宋_GB2312" w:hint="eastAsia"/>
          <w:i w:val="false"/>
          <w:iCs w:val="false"/>
          <w:caps w:val="false"/>
          <w:smallCaps w:val="false"/>
          <w:color w:val="444444"/>
          <w:spacing w:val="0"/>
          <w:sz w:val="32"/>
          <w:szCs w:val="32"/>
        </w:rPr>
      </w:pPr>
      <w:r>
        <w:rPr>
          <w:rFonts w:ascii="仿宋_GB2312" w:hAnsi="仿宋_GB2312" w:cs="仿宋_GB2312" w:hint="eastAsia" w:eastAsia="仿宋_GB2312"/>
          <w:i w:val="false"/>
          <w:iCs w:val="false"/>
          <w:caps w:val="false"/>
          <w:smallCaps w:val="false"/>
          <w:color w:val="444444"/>
          <w:spacing w:val="0"/>
          <w:sz w:val="32"/>
          <w:szCs w:val="32"/>
          <w:shd w:fill="FFFFFF" w:val="clear"/>
        </w:rPr>
        <w:t>体育赛事活动组织者在不具备办赛条件时未中止赛事活动的，县级以上人民政府应当责令其立即中止。</w:t>
      </w:r>
    </w:p>
    <w:p>
      <w:pPr>
        <w:pStyle w:val="Style17"/>
        <w:keepNext w:val="false"/>
        <w:keepLines w:val="false"/>
        <w:pageBreakBefore w:val="false"/>
        <w:widowControl/>
        <w:suppressLineNumbers w:val="0"/>
        <w:pBdr/>
        <w:shd w:fill="FFFFFF" w:val="clear"/>
        <w:kinsoku w:val="true"/>
        <w:overflowPunct w:val="true"/>
        <w:autoSpaceDE w:val="true"/>
        <w:bidi w:val="0"/>
        <w:snapToGrid w:val="true"/>
        <w:spacing w:lineRule="exact" w:line="580" w:before="0" w:after="0"/>
        <w:ind w:firstLine="420" w:end="0"/>
        <w:jc w:val="both"/>
        <w:textAlignment w:val="auto"/>
        <w:rPr>
          <w:rFonts w:ascii="仿宋_GB2312" w:hAnsi="仿宋_GB2312" w:eastAsia="仿宋_GB2312" w:cs="仿宋_GB2312" w:hint="eastAsia"/>
          <w:i w:val="false"/>
          <w:iCs w:val="false"/>
          <w:caps w:val="false"/>
          <w:smallCaps w:val="false"/>
          <w:color w:val="444444"/>
          <w:spacing w:val="0"/>
          <w:sz w:val="32"/>
          <w:szCs w:val="32"/>
        </w:rPr>
      </w:pPr>
      <w:r>
        <w:rPr>
          <w:rFonts w:ascii="仿宋_GB2312" w:hAnsi="仿宋_GB2312" w:cs="仿宋_GB2312" w:hint="eastAsia" w:eastAsia="仿宋_GB2312"/>
          <w:i w:val="false"/>
          <w:iCs w:val="false"/>
          <w:caps w:val="false"/>
          <w:smallCaps w:val="false"/>
          <w:color w:val="444444"/>
          <w:spacing w:val="0"/>
          <w:sz w:val="32"/>
          <w:szCs w:val="32"/>
          <w:shd w:fill="FFFFFF" w:val="clear"/>
        </w:rPr>
        <w:t>（三）启动“熔断”机制后，体育赛事活动组织者和地方体育行政部门应当会同同级人民政府有关部门做好应急处置工作，疏散、撤离并妥善安置和救助现场人员，同时采取措施防范次生灾害和衍生事件发生，并及时发布相关信息，做好舆情引导。</w:t>
      </w:r>
    </w:p>
    <w:p>
      <w:pPr>
        <w:pStyle w:val="Style17"/>
        <w:keepNext w:val="false"/>
        <w:keepLines w:val="false"/>
        <w:pageBreakBefore w:val="false"/>
        <w:widowControl/>
        <w:suppressLineNumbers w:val="0"/>
        <w:pBdr/>
        <w:shd w:fill="FFFFFF" w:val="clear"/>
        <w:kinsoku w:val="true"/>
        <w:overflowPunct w:val="true"/>
        <w:autoSpaceDE w:val="true"/>
        <w:bidi w:val="0"/>
        <w:snapToGrid w:val="true"/>
        <w:spacing w:lineRule="exact" w:line="580" w:before="0" w:after="0"/>
        <w:ind w:firstLine="420" w:end="0"/>
        <w:jc w:val="both"/>
        <w:textAlignment w:val="auto"/>
        <w:rPr>
          <w:rFonts w:ascii="fangsong;C059" w:hAnsi="fangsong;C059" w:eastAsia="fangsong;C059" w:cs="fangsong;C059"/>
          <w:i w:val="false"/>
          <w:iCs w:val="false"/>
          <w:caps w:val="false"/>
          <w:smallCaps w:val="false"/>
          <w:color w:val="444444"/>
          <w:spacing w:val="0"/>
          <w:sz w:val="32"/>
          <w:szCs w:val="32"/>
        </w:rPr>
      </w:pPr>
      <w:r>
        <w:rPr>
          <w:rFonts w:ascii="黑体" w:hAnsi="黑体" w:cs="黑体" w:hint="eastAsia" w:eastAsia="黑体"/>
          <w:i w:val="false"/>
          <w:iCs w:val="false"/>
          <w:caps w:val="false"/>
          <w:smallCaps w:val="false"/>
          <w:color w:val="444444"/>
          <w:spacing w:val="0"/>
          <w:sz w:val="31"/>
          <w:szCs w:val="31"/>
          <w:shd w:fill="FFFFFF" w:val="clear"/>
        </w:rPr>
        <w:t>第二十八条</w:t>
      </w:r>
      <w:r>
        <w:rPr>
          <w:rFonts w:ascii="仿宋_GB2312" w:hAnsi="仿宋_GB2312" w:cs="仿宋_GB2312" w:hint="eastAsia" w:eastAsia="仿宋_GB2312"/>
          <w:i w:val="false"/>
          <w:iCs w:val="false"/>
          <w:caps w:val="false"/>
          <w:smallCaps w:val="false"/>
          <w:color w:val="444444"/>
          <w:spacing w:val="0"/>
          <w:sz w:val="31"/>
          <w:szCs w:val="31"/>
          <w:shd w:fill="FFFFFF" w:val="clear"/>
        </w:rPr>
        <w:t>　自然人、法人和非法人组织依法参与体育赛事活动，享有获得基本安全保障、赛事服务等权利。</w:t>
      </w:r>
    </w:p>
    <w:p>
      <w:pPr>
        <w:pStyle w:val="Style17"/>
        <w:keepNext w:val="false"/>
        <w:keepLines w:val="false"/>
        <w:pageBreakBefore w:val="false"/>
        <w:widowControl/>
        <w:suppressLineNumbers w:val="0"/>
        <w:pBdr/>
        <w:shd w:fill="FFFFFF" w:val="clear"/>
        <w:kinsoku w:val="true"/>
        <w:overflowPunct w:val="true"/>
        <w:autoSpaceDE w:val="true"/>
        <w:bidi w:val="0"/>
        <w:snapToGrid w:val="true"/>
        <w:spacing w:lineRule="exact" w:line="580" w:before="0" w:after="0"/>
        <w:ind w:firstLine="420" w:end="0"/>
        <w:jc w:val="both"/>
        <w:textAlignment w:val="auto"/>
        <w:rPr>
          <w:rFonts w:ascii="仿宋_GB2312" w:hAnsi="仿宋_GB2312" w:eastAsia="仿宋_GB2312" w:cs="仿宋_GB2312" w:hint="eastAsia"/>
          <w:i w:val="false"/>
          <w:iCs w:val="false"/>
          <w:caps w:val="false"/>
          <w:smallCaps w:val="false"/>
          <w:color w:val="444444"/>
          <w:spacing w:val="0"/>
          <w:sz w:val="32"/>
          <w:szCs w:val="32"/>
        </w:rPr>
      </w:pPr>
      <w:r>
        <w:rPr>
          <w:rFonts w:ascii="仿宋_GB2312" w:hAnsi="仿宋_GB2312" w:cs="仿宋_GB2312" w:hint="eastAsia" w:eastAsia="仿宋_GB2312"/>
          <w:i w:val="false"/>
          <w:iCs w:val="false"/>
          <w:caps w:val="false"/>
          <w:smallCaps w:val="false"/>
          <w:color w:val="444444"/>
          <w:spacing w:val="0"/>
          <w:sz w:val="32"/>
          <w:szCs w:val="32"/>
          <w:shd w:fill="FFFFFF" w:val="clear"/>
        </w:rPr>
        <w:t>体育赛事活动主办方或承办方因办赛需要使用自然人、法人和非法人组织相关信息的，应当保障信息安全，建立信息安全管理制度，不得违法使用或泄漏。</w:t>
      </w:r>
    </w:p>
    <w:p>
      <w:pPr>
        <w:pStyle w:val="Normal"/>
        <w:keepNext w:val="false"/>
        <w:keepLines w:val="false"/>
        <w:pageBreakBefore w:val="false"/>
        <w:kinsoku w:val="true"/>
        <w:overflowPunct w:val="true"/>
        <w:autoSpaceDE w:val="true"/>
        <w:bidi w:val="0"/>
        <w:snapToGrid w:val="true"/>
        <w:spacing w:lineRule="exact" w:line="580"/>
        <w:textAlignment w:val="auto"/>
        <w:rPr>
          <w:rFonts w:ascii="仿宋_GB2312" w:hAnsi="仿宋_GB2312" w:eastAsia="仿宋_GB2312" w:cs="仿宋_GB2312" w:hint="eastAsia"/>
          <w:i w:val="false"/>
          <w:iCs w:val="false"/>
          <w:caps w:val="false"/>
          <w:smallCaps w:val="false"/>
          <w:color w:val="444444"/>
          <w:spacing w:val="0"/>
          <w:sz w:val="32"/>
          <w:szCs w:val="32"/>
        </w:rPr>
      </w:pPr>
      <w:r>
        <w:rPr>
          <w:rFonts w:eastAsia="仿宋_GB2312" w:cs="仿宋_GB2312" w:hint="eastAsia" w:ascii="仿宋_GB2312" w:hAnsi="仿宋_GB2312"/>
          <w:i w:val="false"/>
          <w:iCs w:val="false"/>
          <w:caps w:val="false"/>
          <w:smallCaps w:val="false"/>
          <w:color w:val="444444"/>
          <w:spacing w:val="0"/>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Calibri">
    <w:altName w:val="Times New Roman"/>
    <w:charset w:val="00" w:characterSet="windows-1252"/>
    <w:family w:val="swiss"/>
    <w:pitch w:val="default"/>
  </w:font>
  <w:font w:name="Liberation Sans">
    <w:altName w:val="Arial"/>
    <w:charset w:val="86"/>
    <w:family w:val="swiss"/>
    <w:pitch w:val="variable"/>
  </w:font>
  <w:font w:name="方正小标宋简体">
    <w:charset w:val="86"/>
    <w:family w:val="auto"/>
    <w:pitch w:val="default"/>
  </w:font>
  <w:font w:name="仿宋_GB2312">
    <w:charset w:val="86"/>
    <w:family w:val="auto"/>
    <w:pitch w:val="default"/>
  </w:font>
  <w:font w:name="黑体">
    <w:charset w:val="86"/>
    <w:family w:val="auto"/>
    <w:pitch w:val="default"/>
  </w:font>
  <w:font w:name="fangsong">
    <w:altName w:val="C059"/>
    <w:charset w:val="00" w:characterSet="windows-1252"/>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Arial"/>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Times New Roman" w:hAnsi="Calibri;Times New Roman" w:eastAsia="宋体;方正书宋_GBK" w:cs="Times New Roman"/>
      <w:color w:val="auto"/>
      <w:kern w:val="2"/>
      <w:sz w:val="21"/>
      <w:szCs w:val="24"/>
      <w:lang w:bidi="ar-SA" w:val="en-US" w:eastAsia="zh-CN"/>
    </w:rPr>
  </w:style>
  <w:style w:type="character" w:styleId="Style14">
    <w:name w:val="默认段落字体"/>
    <w:qFormat/>
    <w:rPr/>
  </w:style>
  <w:style w:type="paragraph" w:styleId="Style15">
    <w:name w:val="标题样式"/>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6">
    <w:name w:val="索引"/>
    <w:basedOn w:val="Normal"/>
    <w:qFormat/>
    <w:pPr>
      <w:suppressLineNumbers/>
    </w:pPr>
    <w:rPr>
      <w:rFonts w:cs="Arial"/>
    </w:rPr>
  </w:style>
  <w:style w:type="paragraph" w:styleId="Style17">
    <w:name w:val="普通(网站)"/>
    <w:basedOn w:val="Normal"/>
    <w:qFormat/>
    <w:pPr>
      <w:spacing w:before="100" w:after="100"/>
      <w:ind w:hanging="0" w:start="0" w:end="0"/>
      <w:jc w:val="start"/>
    </w:pPr>
    <w:rPr>
      <w:kern w:val="0"/>
      <w:sz w:val="24"/>
      <w:lang w:bidi="a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15360</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2026-06-13T09:12:00Z</dcterms:created>
  <dc:creator>张宣</dc:creator>
  <dc:description/>
  <dc:language>zh-CN</dc:language>
  <cp:lastModifiedBy>张宣</cp:lastModifiedBy>
  <dcterms:modified xsi:type="dcterms:W3CDTF">2026-06-13T01:40:22Z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E257BA1A5EB3B75D7ACD2B6A04EA9CFF_41</vt:lpwstr>
  </property>
  <property fmtid="{D5CDD505-2E9C-101B-9397-08002B2CF9AE}" pid="3" name="KSOProductBuildVer">
    <vt:lpwstr>2052-12.8.2.1119</vt:lpwstr>
  </property>
</Properties>
</file>