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sz w:val="28"/>
          <w:szCs w:val="28"/>
        </w:rPr>
      </w:pPr>
      <w:bookmarkStart w:id="0" w:name="_GoBack"/>
      <w:r>
        <w:rPr>
          <w:rFonts w:hint="eastAsia"/>
          <w:b/>
          <w:sz w:val="28"/>
          <w:szCs w:val="28"/>
        </w:rPr>
        <w:t>用于科学研究、文化交流等其他用途的</w:t>
      </w:r>
    </w:p>
    <w:bookmarkEnd w:id="0"/>
    <w:p>
      <w:pPr>
        <w:rPr>
          <w:rFonts w:hint="eastAsia"/>
          <w:b/>
          <w:sz w:val="28"/>
          <w:szCs w:val="28"/>
        </w:rPr>
      </w:pPr>
    </w:p>
    <w:p>
      <w:pPr>
        <w:rPr>
          <w:rFonts w:hint="eastAsia"/>
          <w:b/>
          <w:sz w:val="28"/>
          <w:szCs w:val="28"/>
        </w:rPr>
      </w:pP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提交科研或交流项目立项文件或材料、科研合作协议等相关背景材料及采集作业办法：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①提供用于科学研究、文化交流等公益事业的相关材料；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②因安全隐患需要采集的，要附上采集后的处置方案；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③采集作业办法应包括申请采集的种类、数量、地点、方法及采集人员技术与组织保障措施等；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49675B"/>
    <w:rsid w:val="3049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Office_11.1.0.9098_F1E327BC-269C-435d-A152-05C5408002CA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2019-10-18T03:42:00Z</dcterms:created>
  <dc:creator>锦衣卫</dc:creator>
  <cp:lastModifiedBy>锦衣卫</cp:lastModifiedBy>
  <dcterms:modified xsi:type="dcterms:W3CDTF">2019-10-18T03:43:55Z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