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CCE8CF"/>
  <w:body>
    <w:p>
      <w:pPr>
        <w:pStyle w:val="Normal"/>
        <w:spacing w:lineRule="exact" w:line="600"/>
        <w:jc w:val="center"/>
        <w:rPr/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伤残抚恤人员残疾等级评定和调整以及</w:t>
      </w:r>
    </w:p>
    <w:p>
      <w:pPr>
        <w:pStyle w:val="Normal"/>
        <w:spacing w:lineRule="exact" w:line="600"/>
        <w:jc w:val="center"/>
        <w:rPr>
          <w:rFonts w:hint="eastAsia"/>
        </w:rPr>
      </w:pPr>
      <w:r>
        <w:rPr>
          <w:rFonts w:ascii="方正小标宋简体" w:hAnsi="方正小标宋简体" w:cs="方正小标宋简体" w:hint="eastAsia" w:eastAsia="方正小标宋简体"/>
          <w:sz w:val="44"/>
          <w:szCs w:val="44"/>
        </w:rPr>
        <w:t>补换伤残证件申请书内容要求</w:t>
      </w:r>
    </w:p>
    <w:p>
      <w:pPr>
        <w:pStyle w:val="Normal"/>
        <w:spacing w:lineRule="exact" w:line="600"/>
        <w:rPr>
          <w:rFonts w:eastAsia="方正小标宋_GBK" w:hint="eastAsia"/>
          <w:sz w:val="32"/>
          <w:szCs w:val="32"/>
        </w:rPr>
      </w:pPr>
      <w:r>
        <w:rPr>
          <w:rFonts w:eastAsia="方正小标宋_GBK" w:hint="eastAsia"/>
          <w:sz w:val="32"/>
          <w:szCs w:val="32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一、新办评定残疾等级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申请书内容包括</w:t>
      </w:r>
      <w:r>
        <w:rPr>
          <w:rFonts w:eastAsia="方正仿宋_GBK" w:hint="eastAsia"/>
          <w:sz w:val="32"/>
          <w:szCs w:val="32"/>
        </w:rPr>
        <w:t>:</w:t>
      </w:r>
      <w:r>
        <w:rPr>
          <w:rFonts w:hint="eastAsia" w:eastAsia="方正仿宋_GBK"/>
          <w:sz w:val="32"/>
          <w:szCs w:val="32"/>
        </w:rPr>
        <w:t>申请人姓名、当前身份，因战因公负伤时所在的单位、身份、时间、地点、负伤详细原因、经过及部位、目前伤残情况等，本人手写签名（本人不能书写的由其利害关系人或所在单位代写并附说明）、申请日期。</w:t>
      </w:r>
    </w:p>
    <w:p>
      <w:pPr>
        <w:pStyle w:val="Normal"/>
        <w:spacing w:lineRule="exact" w:line="600"/>
        <w:ind w:firstLineChars="200" w:startChars="0" w:start="0" w:endChars="0" w:end="0"/>
        <w:rPr>
          <w:rFonts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适用对象：因战因公负伤时为行政编制的人民警察；因参战、参加军事演习、军事训练和执行军事勤务致残的预备役人员、民兵、民工以及其他人员；为维护社会治安同违法犯罪分子进行斗争致残的人员；为抢救和保护国家财产、人民生命财产致残的人员；法律、行政法规规定应当由退役军人事务部门负责伤残抚恤的其他人员</w:t>
      </w:r>
      <w:r>
        <w:rPr>
          <w:rFonts w:ascii="MS Mincho;ＭＳ 明朝" w:hAnsi="MS Mincho;ＭＳ 明朝" w:cs="MS Mincho;ＭＳ 明朝" w:hint="eastAsia"/>
          <w:sz w:val="32"/>
          <w:szCs w:val="32"/>
        </w:rPr>
        <w:t>。</w:t>
      </w:r>
    </w:p>
    <w:p>
      <w:pPr>
        <w:pStyle w:val="Normal"/>
        <w:spacing w:lineRule="exact" w:line="60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二、补办评定残疾等级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申请书内容包括：申请人入伍时间、退役时间，因战因公负伤时所在部队番号、职务，致残时间、地点、部位、原因及详细经过；在部队未评残原因以及目前伤残情况。本人手写签名（本人不能书写的由其利害关系人或所在单位代写并附说明）、申请日期。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hint="eastAsia" w:eastAsia="方正仿宋_GBK"/>
          <w:sz w:val="32"/>
          <w:szCs w:val="32"/>
        </w:rPr>
        <w:t>适用对象：在服役期间因战因公致残，未能及时评定残疾等级的退役军人。</w:t>
      </w:r>
    </w:p>
    <w:p>
      <w:pPr>
        <w:pStyle w:val="Normal"/>
        <w:spacing w:lineRule="exact" w:line="60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三、调整残疾等级</w:t>
      </w:r>
    </w:p>
    <w:p>
      <w:pPr>
        <w:pStyle w:val="Normal"/>
        <w:spacing w:lineRule="exact" w:line="60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申请书内容包括：申请人评残部位当前状况及对工作或生活的影响、近期治疗情况，本人手写签名（本人不能书写的由其利害关系人或所在单位代写并附说明）、申请日期。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适用对象：已经评定残疾等级，因原致残部位残疾情况变化与原评定的残疾等级明显不符，要求调整残疾等级的人员。</w:t>
      </w:r>
    </w:p>
    <w:p>
      <w:pPr>
        <w:pStyle w:val="Normal"/>
        <w:spacing w:lineRule="exact" w:line="600"/>
        <w:ind w:firstLineChars="200" w:startChars="0" w:start="0" w:endChars="0" w:end="0"/>
        <w:rPr>
          <w:rFonts w:ascii="黑体;SimHei" w:hAnsi="黑体;SimHei" w:eastAsia="黑体;SimHei" w:cs="黑体;SimHei" w:hint="eastAsia"/>
          <w:sz w:val="32"/>
          <w:szCs w:val="32"/>
        </w:rPr>
      </w:pPr>
      <w:r>
        <w:rPr>
          <w:rFonts w:ascii="黑体;SimHei" w:hAnsi="黑体;SimHei" w:cs="黑体;SimHei" w:hint="eastAsia" w:eastAsia="黑体;SimHei"/>
          <w:sz w:val="32"/>
          <w:szCs w:val="32"/>
        </w:rPr>
        <w:t>四、补换伤残证件</w:t>
      </w:r>
    </w:p>
    <w:p>
      <w:pPr>
        <w:pStyle w:val="Normal"/>
        <w:spacing w:lineRule="exact" w:line="600"/>
        <w:ind w:firstLineChars="200" w:startChars="0" w:start="0" w:endChars="0" w:end="0"/>
        <w:rPr/>
      </w:pPr>
      <w:r>
        <w:rPr>
          <w:rFonts w:hint="eastAsia" w:eastAsia="方正仿宋_GBK"/>
          <w:sz w:val="32"/>
          <w:szCs w:val="32"/>
        </w:rPr>
        <w:t>申请书内容包括：明确提出换证或补证的申请事项，本人手写签名（本人不能书写的由其利害关系人或所在单位代写并附说明）、申请日期。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hint="eastAsia" w:eastAsia="方正仿宋_GBK"/>
          <w:sz w:val="32"/>
          <w:szCs w:val="32"/>
        </w:rPr>
        <w:t>适用对象：持有退役军人事务部门发放的残疾证件，且该证件有效期满或者损毁、遗失的残疾人员。</w:t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eastAsia="方正仿宋_GBK" w:hint="eastAsia"/>
          <w:sz w:val="32"/>
          <w:szCs w:val="32"/>
        </w:rPr>
      </w:r>
    </w:p>
    <w:p>
      <w:pPr>
        <w:pStyle w:val="Normal"/>
        <w:spacing w:lineRule="exact" w:line="600"/>
        <w:ind w:firstLineChars="200" w:startChars="0" w:start="0" w:endChars="0" w:end="0"/>
        <w:rPr>
          <w:rFonts w:eastAsia="方正仿宋_GBK" w:hint="eastAsia"/>
          <w:sz w:val="32"/>
          <w:szCs w:val="32"/>
        </w:rPr>
      </w:pPr>
      <w:r>
        <w:rPr>
          <w:rFonts w:eastAsia="方正仿宋_GBK" w:hint="eastAsia"/>
          <w:sz w:val="32"/>
          <w:szCs w:val="32"/>
        </w:rPr>
      </w:r>
    </w:p>
    <w:sectPr>
      <w:footerReference w:type="default" r:id="rId2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方正小标宋简体">
    <w:charset w:val="86"/>
    <w:family w:val="script"/>
    <w:pitch w:val="default"/>
  </w:font>
  <w:font w:name="黑体">
    <w:altName w:val="SimHei"/>
    <w:charset w:val="86"/>
    <w:family w:val="auto"/>
    <w:pitch w:val="variable"/>
  </w:font>
  <w:font w:name="MS Mincho">
    <w:altName w:val="ＭＳ 明朝"/>
    <w:charset w:val="80"/>
    <w:family w:val="modern"/>
    <w:pitch w:val="default"/>
  </w:font>
  <w:font w:name="宋体">
    <w:altName w:val="SimSun"/>
    <w:charset w:val="86"/>
    <w:family w:val="auto"/>
    <w:pitch w:val="variable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360" w:end="360"/>
      <w:rPr/>
    </w:pPr>
    <w:r>
      <w:rPr/>
    </w:r>
    <w:r>
      <mc:AlternateContent>
        <mc:Choice Requires="wps">
          <w:drawing>
            <wp:anchor distT="0" distB="0" distL="0" distR="0" simplePos="0" relativeHeight="3" behindDoc="0" locked="0" layoutInCell="0" allowOverlap="1">
              <wp:simplePos x="0" y="0"/>
              <wp:positionH relativeFrom="margin">
                <wp:align>outside</wp:align>
              </wp:positionH>
              <wp:positionV relativeFrom="paragraph">
                <wp:posOffset>635</wp:posOffset>
              </wp:positionV>
              <wp:extent cx="622935" cy="250190"/>
              <wp:effectExtent l="0" t="0" r="0" b="0"/>
              <wp:wrapSquare wrapText="bothSides"/>
              <wp:docPr id="1" name="框架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25019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仿宋_GB2312" w:hAnsi="仿宋_GB2312" w:eastAsia="仿宋_GB2312" w:cs="仿宋_GB2312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t>—</w:t>
                          </w:r>
                          <w:r>
                            <w:rPr>
                              <w:rStyle w:val="PageNumber"/>
                              <w:rFonts w:eastAsia="仿宋_GB23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instrText xml:space="preserve"> PAGE \* ARABIC </w:instrText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Style w:val="PageNumber"/>
                              <w:rFonts w:eastAsia="仿宋_GB2312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  <w:t>—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9.05pt;height:19.7pt;mso-wrap-distance-left:0pt;mso-wrap-distance-right:0pt;mso-wrap-distance-top:0pt;mso-wrap-distance-bottom:0pt;margin-top:0.05pt;mso-position-vertical-relative:text;margin-left:0pt;mso-position-horizontal:outside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仿宋_GB2312" w:hAnsi="仿宋_GB2312" w:eastAsia="仿宋_GB2312" w:cs="仿宋_GB2312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t>—</w:t>
                    </w:r>
                    <w:r>
                      <w:rPr>
                        <w:rStyle w:val="PageNumber"/>
                        <w:rFonts w:eastAsia="仿宋_GB231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instrText xml:space="preserve"> PAGE \* ARABIC </w:instrText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t>2</w:t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Style w:val="PageNumber"/>
                        <w:rFonts w:eastAsia="仿宋_GB2312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  <w:t>—</w:t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isplayBackgroundShape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1"/>
      <w:lang w:bidi="ar-SA" w:val="en-US" w:eastAsia="zh-CN"/>
    </w:rPr>
  </w:style>
  <w:style w:type="character" w:styleId="Style14">
    <w:name w:val="默认段落字体"/>
    <w:qFormat/>
    <w:rPr/>
  </w:style>
  <w:style w:type="character" w:styleId="Char1">
    <w:name w:val="页脚 Char1"/>
    <w:qFormat/>
    <w:rPr>
      <w:rFonts w:cs="Times New Roman"/>
      <w:sz w:val="18"/>
      <w:szCs w:val="18"/>
    </w:rPr>
  </w:style>
  <w:style w:type="character" w:styleId="PageNumber">
    <w:name w:val="page number"/>
    <w:rPr>
      <w:rFonts w:cs="Times New Roman"/>
    </w:rPr>
  </w:style>
  <w:style w:type="character" w:styleId="Char">
    <w:name w:val="批注框文本 Char"/>
    <w:qFormat/>
    <w:rPr>
      <w:rFonts w:cs="Times New Roman"/>
      <w:sz w:val="2"/>
      <w:szCs w:val="2"/>
    </w:rPr>
  </w:style>
  <w:style w:type="character" w:styleId="Char2">
    <w:name w:val="页眉 Char"/>
    <w:qFormat/>
    <w:rPr>
      <w:rFonts w:cs="Times New Roman"/>
      <w:kern w:val="2"/>
      <w:sz w:val="18"/>
      <w:szCs w:val="18"/>
    </w:rPr>
  </w:style>
  <w:style w:type="character" w:styleId="Char3">
    <w:name w:val="页脚 Char"/>
    <w:qFormat/>
    <w:rPr>
      <w:rFonts w:cs="Times New Roman"/>
      <w:kern w:val="2"/>
      <w:sz w:val="18"/>
      <w:szCs w:val="18"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kern w:val="0"/>
      <w:sz w:val="18"/>
      <w:szCs w:val="18"/>
    </w:rPr>
  </w:style>
  <w:style w:type="paragraph" w:styleId="Style18">
    <w:name w:val="批注框文本"/>
    <w:basedOn w:val="Normal"/>
    <w:qFormat/>
    <w:pPr/>
    <w:rPr>
      <w:kern w:val="0"/>
      <w:sz w:val="2"/>
      <w:szCs w:val="2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9">
    <w:name w:val="框架内容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2019-09-25T18:53:00Z</dcterms:created>
  <dc:creator>方昌飞</dc:creator>
  <dc:description/>
  <cp:keywords/>
  <dc:language>zh-CN</dc:language>
  <cp:lastModifiedBy>20151009</cp:lastModifiedBy>
  <cp:lastPrinted>2019-07-29T10:02:00Z</cp:lastPrinted>
  <dcterms:modified xsi:type="dcterms:W3CDTF">2022-01-26T08:31:00Z</dcterms:modified>
  <cp:revision>200</cp:revision>
  <dc:subject/>
  <dc:title>关于调整部分优抚对象等人员</dc:title>
</cp:coreProperties>
</file>