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用于人工培育的</w:t>
      </w:r>
    </w:p>
    <w:bookmarkEnd w:id="0"/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提交采集作业区野生植物资源状况，培育基地项目立项文件、培植基地规模、技术力量、市场预测等可行性研究报告等相关背景材料及采集作业办法：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①提供的采集作业区野生植物资源状况要明确可采母树的数量、分布情况等；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②采集作业办法应包括申请采集的种类、数量、地点、方法及采集人员技术与组织保障措施等。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870FF"/>
    <w:rsid w:val="49F8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2019-10-18T03:42:00Z</dcterms:created>
  <dc:creator>锦衣卫</dc:creator>
  <cp:lastModifiedBy>锦衣卫</cp:lastModifiedBy>
  <dcterms:modified xsi:type="dcterms:W3CDTF">2019-10-18T03:43:46Z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