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69" w:rsidRDefault="007B0869" w:rsidP="007B0869">
      <w:pPr>
        <w:pStyle w:val="a3"/>
      </w:pPr>
      <w:r>
        <w:rPr>
          <w:rFonts w:hint="eastAsia"/>
        </w:rPr>
        <w:t>财务诊断预测模型初步探讨</w:t>
      </w:r>
    </w:p>
    <w:p w:rsidR="007B0869" w:rsidRPr="00803DC2" w:rsidRDefault="007B0869" w:rsidP="007B086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803DC2">
        <w:rPr>
          <w:rFonts w:hint="eastAsia"/>
          <w:sz w:val="24"/>
          <w:szCs w:val="24"/>
        </w:rPr>
        <w:t>建模目标</w:t>
      </w:r>
    </w:p>
    <w:p w:rsidR="007B0869" w:rsidRPr="00054626" w:rsidRDefault="007B0869" w:rsidP="007B0869">
      <w:pPr>
        <w:pStyle w:val="a4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通过分析财务造假</w:t>
      </w:r>
      <w:r w:rsidRPr="00054626">
        <w:rPr>
          <w:rFonts w:hint="eastAsia"/>
          <w:sz w:val="24"/>
          <w:szCs w:val="24"/>
        </w:rPr>
        <w:t>上市</w:t>
      </w:r>
      <w:r>
        <w:rPr>
          <w:rFonts w:hint="eastAsia"/>
          <w:sz w:val="24"/>
          <w:szCs w:val="24"/>
        </w:rPr>
        <w:t>公司财务报告，预测给定上市公司是否财务造假。进一步，如果选取所有上市公司作为给定公司集合，筛选出其中更可能财务造假公司和更不可能造假的公司，通过</w:t>
      </w:r>
      <w:proofErr w:type="gramStart"/>
      <w:r>
        <w:rPr>
          <w:rFonts w:hint="eastAsia"/>
          <w:sz w:val="24"/>
          <w:szCs w:val="24"/>
        </w:rPr>
        <w:t>回测比较</w:t>
      </w:r>
      <w:proofErr w:type="gramEnd"/>
      <w:r>
        <w:rPr>
          <w:rFonts w:hint="eastAsia"/>
          <w:sz w:val="24"/>
          <w:szCs w:val="24"/>
        </w:rPr>
        <w:t>两者之间是否有差异，评估模型效果。</w:t>
      </w:r>
    </w:p>
    <w:p w:rsidR="007B0869" w:rsidRDefault="007B0869" w:rsidP="007B086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803DC2">
        <w:rPr>
          <w:rFonts w:hint="eastAsia"/>
          <w:sz w:val="24"/>
          <w:szCs w:val="24"/>
        </w:rPr>
        <w:t>文献调研</w:t>
      </w:r>
    </w:p>
    <w:p w:rsidR="007B0869" w:rsidRPr="002673FE" w:rsidRDefault="007B0869" w:rsidP="007B0869">
      <w:pPr>
        <w:pStyle w:val="a4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通过查询</w:t>
      </w:r>
      <w:r>
        <w:rPr>
          <w:rFonts w:ascii="宋体" w:eastAsia="宋体" w:hAnsi="宋体" w:cs="Times New Roman" w:hint="eastAsia"/>
          <w:sz w:val="24"/>
          <w:szCs w:val="24"/>
        </w:rPr>
        <w:t>财务安全或者财务预警</w:t>
      </w:r>
      <w:r>
        <w:rPr>
          <w:rFonts w:hint="eastAsia"/>
          <w:sz w:val="24"/>
          <w:szCs w:val="24"/>
        </w:rPr>
        <w:t>模型相关资料，发现目前财务安全诊断主要使用单变量模型、多元线性判别分析、多元逻辑回归、多元概率比回归、人工神经网络等模型，而且研究目标大部分为判断上市公示是否会被特殊处理（</w:t>
      </w:r>
      <w:r>
        <w:rPr>
          <w:rFonts w:hint="eastAsia"/>
          <w:sz w:val="24"/>
          <w:szCs w:val="24"/>
        </w:rPr>
        <w:t>ST</w:t>
      </w:r>
      <w:r>
        <w:rPr>
          <w:rFonts w:hint="eastAsia"/>
          <w:sz w:val="24"/>
          <w:szCs w:val="24"/>
        </w:rPr>
        <w:t>）。根据调研结果，</w:t>
      </w:r>
      <w:r w:rsidRPr="002673FE">
        <w:rPr>
          <w:rFonts w:ascii="宋体" w:eastAsia="宋体" w:hAnsi="宋体" w:cs="Times New Roman" w:hint="eastAsia"/>
          <w:sz w:val="24"/>
          <w:szCs w:val="24"/>
        </w:rPr>
        <w:t>这些文章主要研究</w:t>
      </w:r>
      <w:r w:rsidRPr="002673FE">
        <w:rPr>
          <w:rFonts w:ascii="宋体" w:eastAsia="宋体" w:hAnsi="宋体" w:cs="Times New Roman"/>
          <w:sz w:val="24"/>
          <w:szCs w:val="24"/>
        </w:rPr>
        <w:t>ST</w:t>
      </w:r>
      <w:r w:rsidRPr="002673FE">
        <w:rPr>
          <w:rFonts w:ascii="宋体" w:eastAsia="宋体" w:hAnsi="宋体" w:cs="Times New Roman" w:hint="eastAsia"/>
          <w:sz w:val="24"/>
          <w:szCs w:val="24"/>
        </w:rPr>
        <w:t>公司和非</w:t>
      </w:r>
      <w:r w:rsidRPr="002673FE">
        <w:rPr>
          <w:rFonts w:ascii="宋体" w:eastAsia="宋体" w:hAnsi="宋体" w:cs="Times New Roman"/>
          <w:sz w:val="24"/>
          <w:szCs w:val="24"/>
        </w:rPr>
        <w:t>ST</w:t>
      </w:r>
      <w:r>
        <w:rPr>
          <w:rFonts w:ascii="宋体" w:eastAsia="宋体" w:hAnsi="宋体" w:cs="Times New Roman" w:hint="eastAsia"/>
          <w:sz w:val="24"/>
          <w:szCs w:val="24"/>
        </w:rPr>
        <w:t>公司之间的财务报表中的区别，倾向于研究公司财务质量问题，和我们的研究对象不同。</w:t>
      </w:r>
      <w:r>
        <w:rPr>
          <w:rFonts w:hint="eastAsia"/>
          <w:sz w:val="24"/>
          <w:szCs w:val="24"/>
        </w:rPr>
        <w:t>对于财务造假诊断，目前还没有相关研究。</w:t>
      </w:r>
    </w:p>
    <w:p w:rsidR="007B0869" w:rsidRDefault="007B0869" w:rsidP="007B086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054626">
        <w:rPr>
          <w:rFonts w:hint="eastAsia"/>
          <w:sz w:val="24"/>
          <w:szCs w:val="24"/>
        </w:rPr>
        <w:t>初步设想</w:t>
      </w:r>
    </w:p>
    <w:p w:rsidR="007B0869" w:rsidRPr="00803DC2" w:rsidRDefault="007B0869" w:rsidP="007B0869">
      <w:pPr>
        <w:pStyle w:val="a4"/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收集被曝或被罚财务造假公司相关年度财务报告，从中提取相关指标。其次，将财务造假诊断问题看作一个分类问题，采用机器学习有监督学习的分类方法构建模型。最后，用模型预测所有上市公司的财务造假概率，并在其中划分为最不可能和最可能造假的公司两组，</w:t>
      </w:r>
      <w:proofErr w:type="gramStart"/>
      <w:r>
        <w:rPr>
          <w:rFonts w:hint="eastAsia"/>
          <w:sz w:val="24"/>
          <w:szCs w:val="24"/>
        </w:rPr>
        <w:t>通过回测研究</w:t>
      </w:r>
      <w:proofErr w:type="gramEnd"/>
      <w:r>
        <w:rPr>
          <w:rFonts w:hint="eastAsia"/>
          <w:sz w:val="24"/>
          <w:szCs w:val="24"/>
        </w:rPr>
        <w:t>分类效果。</w:t>
      </w:r>
    </w:p>
    <w:p w:rsidR="007B0869" w:rsidRDefault="007B0869" w:rsidP="007B0869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模型构建及结果分析</w:t>
      </w:r>
    </w:p>
    <w:p w:rsidR="007B0869" w:rsidRDefault="007B0869" w:rsidP="007B0869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数据采集</w:t>
      </w:r>
    </w:p>
    <w:p w:rsidR="007B0869" w:rsidRPr="0071046B" w:rsidRDefault="007B0869" w:rsidP="007B0869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r w:rsidRPr="0071046B">
        <w:rPr>
          <w:rFonts w:ascii="宋体" w:eastAsia="宋体" w:hAnsi="宋体" w:cs="Times New Roman" w:hint="eastAsia"/>
          <w:sz w:val="24"/>
          <w:szCs w:val="24"/>
        </w:rPr>
        <w:t>首先在证监会及其下属证监局网站上找到受过行政处罚的公司名单，被处罚时间从</w:t>
      </w:r>
      <w:r w:rsidRPr="0071046B">
        <w:rPr>
          <w:rFonts w:ascii="宋体" w:eastAsia="宋体" w:hAnsi="宋体" w:cs="Times New Roman"/>
          <w:sz w:val="24"/>
          <w:szCs w:val="24"/>
        </w:rPr>
        <w:t>2013</w:t>
      </w:r>
      <w:r w:rsidRPr="0071046B">
        <w:rPr>
          <w:rFonts w:ascii="宋体" w:eastAsia="宋体" w:hAnsi="宋体" w:cs="Times New Roman" w:hint="eastAsia"/>
          <w:sz w:val="24"/>
          <w:szCs w:val="24"/>
        </w:rPr>
        <w:t>年至今，一共64家公司。</w:t>
      </w:r>
      <w:r>
        <w:rPr>
          <w:rFonts w:ascii="宋体" w:eastAsia="宋体" w:hAnsi="宋体" w:hint="eastAsia"/>
          <w:sz w:val="24"/>
          <w:szCs w:val="24"/>
        </w:rPr>
        <w:t>对于给定的公司名单，找到其造假年度财务报表，从其</w:t>
      </w:r>
      <w:r w:rsidRPr="0071046B">
        <w:rPr>
          <w:rFonts w:ascii="宋体" w:eastAsia="宋体" w:hAnsi="宋体" w:hint="eastAsia"/>
          <w:sz w:val="24"/>
          <w:szCs w:val="24"/>
        </w:rPr>
        <w:t>中提取相关财务指标，例如资产负债表（</w:t>
      </w:r>
      <w:r w:rsidRPr="0071046B">
        <w:rPr>
          <w:rFonts w:ascii="宋体" w:eastAsia="宋体" w:hAnsi="宋体"/>
          <w:sz w:val="24"/>
          <w:szCs w:val="24"/>
        </w:rPr>
        <w:t>COM_BALANCESHEETNAS</w:t>
      </w:r>
      <w:r w:rsidRPr="0071046B">
        <w:rPr>
          <w:rFonts w:ascii="宋体" w:eastAsia="宋体" w:hAnsi="宋体" w:hint="eastAsia"/>
          <w:sz w:val="24"/>
          <w:szCs w:val="24"/>
        </w:rPr>
        <w:t>）中的总资产、所有者权益，利润表（</w:t>
      </w:r>
      <w:r w:rsidRPr="0071046B">
        <w:rPr>
          <w:rFonts w:ascii="宋体" w:eastAsia="宋体" w:hAnsi="宋体"/>
          <w:sz w:val="24"/>
          <w:szCs w:val="24"/>
        </w:rPr>
        <w:t>COM_INCOMESTATEMENTNAS</w:t>
      </w:r>
      <w:r w:rsidRPr="0071046B">
        <w:rPr>
          <w:rFonts w:ascii="宋体" w:eastAsia="宋体" w:hAnsi="宋体" w:hint="eastAsia"/>
          <w:sz w:val="24"/>
          <w:szCs w:val="24"/>
        </w:rPr>
        <w:t>）中的营业总收入、营业利润、营业总成本，现金流量表（</w:t>
      </w:r>
      <w:r w:rsidRPr="0071046B">
        <w:rPr>
          <w:rFonts w:ascii="宋体" w:eastAsia="宋体" w:hAnsi="宋体"/>
          <w:sz w:val="24"/>
          <w:szCs w:val="24"/>
        </w:rPr>
        <w:t>COM_CASHFLOWSTATEMENTNAS</w:t>
      </w:r>
      <w:r w:rsidRPr="0071046B">
        <w:rPr>
          <w:rFonts w:ascii="宋体" w:eastAsia="宋体" w:hAnsi="宋体" w:hint="eastAsia"/>
          <w:sz w:val="24"/>
          <w:szCs w:val="24"/>
        </w:rPr>
        <w:t>）中的现金、存货的减少、预提费用的增加，主要财务指标表（</w:t>
      </w:r>
      <w:r w:rsidRPr="0071046B">
        <w:rPr>
          <w:rFonts w:ascii="宋体" w:eastAsia="宋体" w:hAnsi="宋体"/>
          <w:sz w:val="24"/>
          <w:szCs w:val="24"/>
        </w:rPr>
        <w:t>COM_MAINFINAINDEXNAS</w:t>
      </w:r>
      <w:r w:rsidRPr="0071046B">
        <w:rPr>
          <w:rFonts w:ascii="宋体" w:eastAsia="宋体" w:hAnsi="宋体" w:hint="eastAsia"/>
          <w:sz w:val="24"/>
          <w:szCs w:val="24"/>
        </w:rPr>
        <w:t>）中的净资产收益率、流动比率、速动比率等，总共116个，具体指标详见文件“指标选取.</w:t>
      </w:r>
      <w:proofErr w:type="spellStart"/>
      <w:r w:rsidRPr="0071046B">
        <w:rPr>
          <w:rFonts w:ascii="宋体" w:eastAsia="宋体" w:hAnsi="宋体" w:hint="eastAsia"/>
          <w:sz w:val="24"/>
          <w:szCs w:val="24"/>
        </w:rPr>
        <w:t>xlsx</w:t>
      </w:r>
      <w:proofErr w:type="spellEnd"/>
      <w:r w:rsidRPr="0071046B">
        <w:rPr>
          <w:rFonts w:ascii="宋体" w:eastAsia="宋体" w:hAnsi="宋体" w:hint="eastAsia"/>
          <w:sz w:val="24"/>
          <w:szCs w:val="24"/>
        </w:rPr>
        <w:t>”。其次，对于有的公司造假年份不止一次的情况，根据不同的造假时间拆分出对应时间的年报数据作为一个样本。由于公司的数据库中最新的年报时间为2016年，因此选取造假时间为2015年</w:t>
      </w:r>
      <w:proofErr w:type="gramStart"/>
      <w:r w:rsidRPr="0071046B">
        <w:rPr>
          <w:rFonts w:ascii="宋体" w:eastAsia="宋体" w:hAnsi="宋体" w:hint="eastAsia"/>
          <w:sz w:val="24"/>
          <w:szCs w:val="24"/>
        </w:rPr>
        <w:t>及之前</w:t>
      </w:r>
      <w:proofErr w:type="gramEnd"/>
      <w:r w:rsidRPr="0071046B">
        <w:rPr>
          <w:rFonts w:ascii="宋体" w:eastAsia="宋体" w:hAnsi="宋体" w:hint="eastAsia"/>
          <w:sz w:val="24"/>
          <w:szCs w:val="24"/>
        </w:rPr>
        <w:t>年份的财报数</w:t>
      </w:r>
      <w:proofErr w:type="gramStart"/>
      <w:r w:rsidRPr="0071046B">
        <w:rPr>
          <w:rFonts w:ascii="宋体" w:eastAsia="宋体" w:hAnsi="宋体" w:hint="eastAsia"/>
          <w:sz w:val="24"/>
          <w:szCs w:val="24"/>
        </w:rPr>
        <w:t>据作为</w:t>
      </w:r>
      <w:proofErr w:type="gramEnd"/>
      <w:r w:rsidRPr="0071046B">
        <w:rPr>
          <w:rFonts w:ascii="宋体" w:eastAsia="宋体" w:hAnsi="宋体" w:hint="eastAsia"/>
          <w:sz w:val="24"/>
          <w:szCs w:val="24"/>
        </w:rPr>
        <w:t>训练样本。这样一共有120个样本，每一个样本对应一个公司和一个年度。</w:t>
      </w:r>
    </w:p>
    <w:p w:rsidR="007B0869" w:rsidRPr="0071046B" w:rsidRDefault="007B0869" w:rsidP="007B0869">
      <w:pPr>
        <w:widowControl/>
        <w:ind w:left="42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46B">
        <w:rPr>
          <w:rFonts w:ascii="宋体" w:eastAsia="宋体" w:hAnsi="宋体" w:cs="宋体"/>
          <w:kern w:val="0"/>
          <w:sz w:val="24"/>
          <w:szCs w:val="24"/>
        </w:rPr>
        <w:t>对于每一个样本，随机选择和它属于相同证监会二级行业</w:t>
      </w:r>
      <w:r w:rsidRPr="0071046B">
        <w:rPr>
          <w:rFonts w:ascii="宋体" w:eastAsia="宋体" w:hAnsi="宋体" w:cs="宋体" w:hint="eastAsia"/>
          <w:kern w:val="0"/>
          <w:sz w:val="24"/>
          <w:szCs w:val="24"/>
        </w:rPr>
        <w:t>的未造假</w:t>
      </w:r>
      <w:r w:rsidRPr="0071046B">
        <w:rPr>
          <w:rFonts w:ascii="宋体" w:eastAsia="宋体" w:hAnsi="宋体" w:cs="宋体"/>
          <w:kern w:val="0"/>
          <w:sz w:val="24"/>
          <w:szCs w:val="24"/>
        </w:rPr>
        <w:t>公司作为对照样本，对照数据为这个公司相同年度的财报数据。</w:t>
      </w:r>
      <w:r w:rsidRPr="0071046B">
        <w:rPr>
          <w:rFonts w:ascii="宋体" w:eastAsia="宋体" w:hAnsi="宋体" w:cs="宋体" w:hint="eastAsia"/>
          <w:kern w:val="0"/>
          <w:sz w:val="24"/>
          <w:szCs w:val="24"/>
        </w:rPr>
        <w:t>由于每个公司的规模不同，公司的资产负债表、利润表和现金流量表中的数据均为绝对值，如果不做处理会对预测结果产生很大影响。因此将这三个表中的相关指标值除以该样本公司的总资产，用此值替换原样本中的对应指标值。最后，我们一共得到240个样本数据，包含120个造假公司和其对应的未造假公司的财务数据。由于财务数据中有很多的缺失值，因此我们选择在所有的样本中</w:t>
      </w:r>
      <w:proofErr w:type="gramStart"/>
      <w:r w:rsidRPr="0071046B">
        <w:rPr>
          <w:rFonts w:ascii="宋体" w:eastAsia="宋体" w:hAnsi="宋体" w:cs="宋体" w:hint="eastAsia"/>
          <w:kern w:val="0"/>
          <w:sz w:val="24"/>
          <w:szCs w:val="24"/>
        </w:rPr>
        <w:t>缺失值</w:t>
      </w:r>
      <w:proofErr w:type="gramEnd"/>
      <w:r w:rsidRPr="0071046B">
        <w:rPr>
          <w:rFonts w:ascii="宋体" w:eastAsia="宋体" w:hAnsi="宋体" w:cs="宋体" w:hint="eastAsia"/>
          <w:kern w:val="0"/>
          <w:sz w:val="24"/>
          <w:szCs w:val="24"/>
        </w:rPr>
        <w:t>少于50%的指标作为最终的指标。</w:t>
      </w:r>
    </w:p>
    <w:p w:rsidR="007B0869" w:rsidRDefault="007B0869" w:rsidP="007B0869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模型建立</w:t>
      </w:r>
    </w:p>
    <w:p w:rsidR="007B0869" w:rsidRDefault="007B0869" w:rsidP="007B0869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Logistic模型</w:t>
      </w:r>
    </w:p>
    <w:p w:rsidR="007B0869" w:rsidRPr="0071046B" w:rsidRDefault="007B0869" w:rsidP="007B0869">
      <w:pPr>
        <w:widowControl/>
        <w:ind w:left="42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046B">
        <w:rPr>
          <w:rFonts w:ascii="宋体" w:eastAsia="宋体" w:hAnsi="宋体" w:cs="宋体"/>
          <w:kern w:val="0"/>
          <w:sz w:val="24"/>
          <w:szCs w:val="24"/>
        </w:rPr>
        <w:lastRenderedPageBreak/>
        <w:t>首先</w:t>
      </w:r>
      <w:r w:rsidRPr="0071046B">
        <w:rPr>
          <w:rFonts w:ascii="宋体" w:eastAsia="宋体" w:hAnsi="宋体" w:cs="宋体" w:hint="eastAsia"/>
          <w:kern w:val="0"/>
          <w:sz w:val="24"/>
          <w:szCs w:val="24"/>
        </w:rPr>
        <w:t>采</w:t>
      </w:r>
      <w:r w:rsidRPr="0071046B">
        <w:rPr>
          <w:rFonts w:ascii="宋体" w:eastAsia="宋体" w:hAnsi="宋体" w:cs="宋体"/>
          <w:kern w:val="0"/>
          <w:sz w:val="24"/>
          <w:szCs w:val="24"/>
        </w:rPr>
        <w:t>用</w:t>
      </w:r>
      <w:r w:rsidRPr="0071046B">
        <w:rPr>
          <w:rFonts w:ascii="宋体" w:eastAsia="宋体" w:hAnsi="宋体" w:cs="宋体" w:hint="eastAsia"/>
          <w:kern w:val="0"/>
          <w:sz w:val="24"/>
          <w:szCs w:val="24"/>
        </w:rPr>
        <w:t>这240</w:t>
      </w:r>
      <w:r w:rsidRPr="0071046B">
        <w:rPr>
          <w:rFonts w:ascii="宋体" w:eastAsia="宋体" w:hAnsi="宋体" w:cs="宋体"/>
          <w:kern w:val="0"/>
          <w:sz w:val="24"/>
          <w:szCs w:val="24"/>
        </w:rPr>
        <w:t>个样本的年度财务指标</w:t>
      </w:r>
      <w:r w:rsidRPr="0071046B">
        <w:rPr>
          <w:rFonts w:ascii="宋体" w:eastAsia="宋体" w:hAnsi="宋体" w:cs="宋体" w:hint="eastAsia"/>
          <w:kern w:val="0"/>
          <w:sz w:val="24"/>
          <w:szCs w:val="24"/>
        </w:rPr>
        <w:t>构建</w:t>
      </w:r>
      <w:r w:rsidRPr="0071046B">
        <w:rPr>
          <w:rFonts w:ascii="宋体" w:eastAsia="宋体" w:hAnsi="宋体" w:cs="宋体"/>
          <w:kern w:val="0"/>
          <w:sz w:val="24"/>
          <w:szCs w:val="24"/>
        </w:rPr>
        <w:t>logistic回归</w:t>
      </w:r>
      <w:r w:rsidRPr="0071046B">
        <w:rPr>
          <w:rFonts w:ascii="宋体" w:eastAsia="宋体" w:hAnsi="宋体" w:cs="宋体" w:hint="eastAsia"/>
          <w:kern w:val="0"/>
          <w:sz w:val="24"/>
          <w:szCs w:val="24"/>
        </w:rPr>
        <w:t>模型</w:t>
      </w:r>
      <w:r w:rsidRPr="0071046B">
        <w:rPr>
          <w:rFonts w:ascii="宋体" w:eastAsia="宋体" w:hAnsi="宋体" w:cs="宋体"/>
          <w:kern w:val="0"/>
          <w:sz w:val="24"/>
          <w:szCs w:val="24"/>
        </w:rPr>
        <w:t>，同时使用L1范数来筛选指标。</w:t>
      </w:r>
      <w:r w:rsidRPr="0071046B">
        <w:rPr>
          <w:rFonts w:ascii="宋体" w:eastAsia="宋体" w:hAnsi="宋体" w:cs="宋体" w:hint="eastAsia"/>
          <w:kern w:val="0"/>
          <w:sz w:val="24"/>
          <w:szCs w:val="24"/>
        </w:rPr>
        <w:t xml:space="preserve">对于正则化参数的选择，我们采用交叉核实的方法，这个可以通过Python </w:t>
      </w:r>
      <w:proofErr w:type="spellStart"/>
      <w:r w:rsidRPr="0071046B">
        <w:rPr>
          <w:rFonts w:ascii="宋体" w:eastAsia="宋体" w:hAnsi="宋体" w:cs="宋体" w:hint="eastAsia"/>
          <w:kern w:val="0"/>
          <w:sz w:val="24"/>
          <w:szCs w:val="24"/>
        </w:rPr>
        <w:t>Sklearn</w:t>
      </w:r>
      <w:proofErr w:type="spellEnd"/>
      <w:r w:rsidRPr="0071046B">
        <w:rPr>
          <w:rFonts w:ascii="宋体" w:eastAsia="宋体" w:hAnsi="宋体" w:cs="宋体" w:hint="eastAsia"/>
          <w:kern w:val="0"/>
          <w:sz w:val="24"/>
          <w:szCs w:val="24"/>
        </w:rPr>
        <w:t>的函数</w:t>
      </w:r>
      <w:proofErr w:type="spellStart"/>
      <w:r w:rsidRPr="0071046B">
        <w:rPr>
          <w:rFonts w:ascii="宋体" w:eastAsia="宋体" w:hAnsi="宋体" w:cs="宋体"/>
          <w:kern w:val="0"/>
          <w:sz w:val="24"/>
          <w:szCs w:val="24"/>
        </w:rPr>
        <w:t>LogisticRegressionCV</w:t>
      </w:r>
      <w:proofErr w:type="spellEnd"/>
      <w:r w:rsidRPr="0071046B">
        <w:rPr>
          <w:rFonts w:ascii="宋体" w:eastAsia="宋体" w:hAnsi="宋体" w:cs="宋体" w:hint="eastAsia"/>
          <w:kern w:val="0"/>
          <w:sz w:val="24"/>
          <w:szCs w:val="24"/>
        </w:rPr>
        <w:t>自动选择。为了评估模型效果，我们按照时间顺序对样本排序，将前80%的数据作为训练样本，剩下的20%作为测试样本，同时将AUC、Precision和Recall作为评估指标。为了防止随机选择的对照样本对预测结果的影响，我们分别进行10次试验，将10次试验的平均值作为最终的结果。结果如表1。</w:t>
      </w:r>
    </w:p>
    <w:p w:rsidR="007B0869" w:rsidRDefault="007B0869" w:rsidP="007B0869">
      <w:pPr>
        <w:pStyle w:val="a5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41AF6">
        <w:rPr>
          <w:rFonts w:hint="eastAsia"/>
        </w:rPr>
        <w:t xml:space="preserve"> Logistic</w:t>
      </w:r>
      <w:r w:rsidRPr="00A41AF6">
        <w:rPr>
          <w:rFonts w:hint="eastAsia"/>
        </w:rPr>
        <w:t>模型评估结果</w:t>
      </w:r>
    </w:p>
    <w:p w:rsidR="007B0869" w:rsidRPr="00B963FE" w:rsidRDefault="007B0869" w:rsidP="007B0869"/>
    <w:tbl>
      <w:tblPr>
        <w:tblStyle w:val="-1"/>
        <w:tblW w:w="0" w:type="auto"/>
        <w:jc w:val="center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2"/>
        <w:gridCol w:w="2023"/>
        <w:gridCol w:w="1894"/>
        <w:gridCol w:w="1638"/>
      </w:tblGrid>
      <w:tr w:rsidR="007B0869" w:rsidTr="0024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  <w:vAlign w:val="center"/>
          </w:tcPr>
          <w:p w:rsidR="007B0869" w:rsidRDefault="007B0869" w:rsidP="0024205D">
            <w:pPr>
              <w:pStyle w:val="a4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AUC</w:t>
            </w:r>
          </w:p>
        </w:tc>
        <w:tc>
          <w:tcPr>
            <w:tcW w:w="2023" w:type="dxa"/>
            <w:vAlign w:val="center"/>
          </w:tcPr>
          <w:p w:rsidR="007B0869" w:rsidRDefault="007B0869" w:rsidP="0024205D">
            <w:pPr>
              <w:pStyle w:val="a4"/>
              <w:widowControl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Precision</w:t>
            </w:r>
          </w:p>
        </w:tc>
        <w:tc>
          <w:tcPr>
            <w:tcW w:w="1894" w:type="dxa"/>
            <w:vAlign w:val="center"/>
          </w:tcPr>
          <w:p w:rsidR="007B0869" w:rsidRDefault="007B0869" w:rsidP="0024205D">
            <w:pPr>
              <w:pStyle w:val="a4"/>
              <w:widowControl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Recall</w:t>
            </w:r>
          </w:p>
        </w:tc>
        <w:tc>
          <w:tcPr>
            <w:tcW w:w="1638" w:type="dxa"/>
            <w:vAlign w:val="center"/>
          </w:tcPr>
          <w:p w:rsidR="007B0869" w:rsidRDefault="007B0869" w:rsidP="0024205D">
            <w:pPr>
              <w:pStyle w:val="a4"/>
              <w:widowControl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F1</w:t>
            </w:r>
          </w:p>
        </w:tc>
      </w:tr>
      <w:tr w:rsidR="007B0869" w:rsidTr="0024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  <w:vAlign w:val="center"/>
          </w:tcPr>
          <w:p w:rsidR="007B0869" w:rsidRPr="00FF439B" w:rsidRDefault="007B0869" w:rsidP="0024205D">
            <w:pPr>
              <w:pStyle w:val="a4"/>
              <w:widowControl/>
              <w:ind w:firstLineChars="0" w:firstLine="0"/>
              <w:jc w:val="center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 w:rsidRPr="00FF439B"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0.</w:t>
            </w: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5971</w:t>
            </w:r>
          </w:p>
        </w:tc>
        <w:tc>
          <w:tcPr>
            <w:tcW w:w="2023" w:type="dxa"/>
            <w:vAlign w:val="center"/>
          </w:tcPr>
          <w:p w:rsidR="007B0869" w:rsidRDefault="007B0869" w:rsidP="0024205D">
            <w:pPr>
              <w:pStyle w:val="a4"/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0.5243</w:t>
            </w:r>
          </w:p>
        </w:tc>
        <w:tc>
          <w:tcPr>
            <w:tcW w:w="1894" w:type="dxa"/>
            <w:vAlign w:val="center"/>
          </w:tcPr>
          <w:p w:rsidR="007B0869" w:rsidRDefault="007B0869" w:rsidP="0024205D">
            <w:pPr>
              <w:pStyle w:val="a4"/>
              <w:keepNext/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0.5830</w:t>
            </w:r>
          </w:p>
        </w:tc>
        <w:tc>
          <w:tcPr>
            <w:tcW w:w="1638" w:type="dxa"/>
            <w:vAlign w:val="center"/>
          </w:tcPr>
          <w:p w:rsidR="007B0869" w:rsidRPr="00620146" w:rsidRDefault="007B0869" w:rsidP="0024205D">
            <w:pPr>
              <w:pStyle w:val="a4"/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color w:val="FFFFFF" w:themeColor="background1"/>
                <w:kern w:val="0"/>
                <w:sz w:val="24"/>
                <w:szCs w:val="24"/>
              </w:rPr>
            </w:pPr>
            <w:r w:rsidRPr="00620146">
              <w:rPr>
                <w:rFonts w:ascii="宋体" w:eastAsia="宋体" w:hAnsi="宋体" w:cs="宋体" w:hint="eastAsia"/>
                <w:bCs/>
                <w:color w:val="000000" w:themeColor="text1"/>
                <w:kern w:val="0"/>
                <w:sz w:val="24"/>
                <w:szCs w:val="24"/>
              </w:rPr>
              <w:t>0.5583</w:t>
            </w:r>
          </w:p>
        </w:tc>
      </w:tr>
    </w:tbl>
    <w:p w:rsidR="007B0869" w:rsidRPr="0071046B" w:rsidRDefault="007B0869" w:rsidP="007B0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0869" w:rsidRDefault="007B0869" w:rsidP="007B0869">
      <w:pPr>
        <w:ind w:left="420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其次，我们可以用Logistic回归模型预测所有2016年上市公司的财务造假概率。在公司的数据库中，一共有2512个上市公司的财务数据。这里我们</w:t>
      </w:r>
      <w:r w:rsidRPr="00BF573F">
        <w:rPr>
          <w:rFonts w:ascii="宋体" w:eastAsia="宋体" w:hAnsi="宋体" w:cs="宋体" w:hint="eastAsia"/>
          <w:kern w:val="0"/>
          <w:sz w:val="24"/>
          <w:szCs w:val="24"/>
        </w:rPr>
        <w:t>用所有的240个样本构建Logistic回归模型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，不再划分训练样本和测试样本</w:t>
      </w:r>
      <w:r w:rsidRPr="00BF573F">
        <w:rPr>
          <w:rFonts w:ascii="宋体" w:eastAsia="宋体" w:hAnsi="宋体" w:cs="宋体" w:hint="eastAsia"/>
          <w:kern w:val="0"/>
          <w:sz w:val="24"/>
          <w:szCs w:val="24"/>
        </w:rPr>
        <w:t>。类似上面的分析，我们分别建立10个模型，每一个模型都随机选择对照样本，然后用这10个模型分别预测每个公司的造假概率，将所有模型结果的平均值作为该公司的财务造假概率。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我们预测的所有公司造假概率分布直方图如图1所示。可以看出大部分公司都被预测为没有造假。</w:t>
      </w:r>
      <w:r w:rsidRPr="00BF573F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>
        <w:rPr>
          <w:rFonts w:ascii="宋体" w:eastAsia="宋体" w:hAnsi="宋体" w:cs="宋体" w:hint="eastAsia"/>
          <w:kern w:val="0"/>
          <w:sz w:val="24"/>
          <w:szCs w:val="24"/>
        </w:rPr>
        <w:t>所有</w:t>
      </w:r>
      <w:r w:rsidRPr="00BF573F">
        <w:rPr>
          <w:rFonts w:ascii="宋体" w:eastAsia="宋体" w:hAnsi="宋体" w:cs="宋体" w:hint="eastAsia"/>
          <w:kern w:val="0"/>
          <w:sz w:val="24"/>
          <w:szCs w:val="24"/>
        </w:rPr>
        <w:t>公司进行预测</w:t>
      </w:r>
      <w:r>
        <w:rPr>
          <w:rFonts w:ascii="宋体" w:eastAsia="宋体" w:hAnsi="宋体" w:cs="宋体" w:hint="eastAsia"/>
          <w:kern w:val="0"/>
          <w:sz w:val="24"/>
          <w:szCs w:val="24"/>
        </w:rPr>
        <w:t>后</w:t>
      </w:r>
      <w:r w:rsidRPr="00BF573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我们</w:t>
      </w:r>
      <w:r w:rsidRPr="00BF573F">
        <w:rPr>
          <w:rFonts w:ascii="宋体" w:eastAsia="宋体" w:hAnsi="宋体" w:cs="宋体" w:hint="eastAsia"/>
          <w:kern w:val="0"/>
          <w:sz w:val="24"/>
          <w:szCs w:val="24"/>
        </w:rPr>
        <w:t>选择</w:t>
      </w:r>
      <w:r>
        <w:rPr>
          <w:rFonts w:ascii="宋体" w:eastAsia="宋体" w:hAnsi="宋体" w:cs="宋体" w:hint="eastAsia"/>
          <w:kern w:val="0"/>
          <w:sz w:val="24"/>
          <w:szCs w:val="24"/>
        </w:rPr>
        <w:t>最可能是财务造假的200家公司作为一个组合（Most Negative），同时选择最不可能财务造假的200家公司也作为一个组合（Most Positive）。另外，我们从所有不可能财务造假的上市公司中随机选择200家作为另一个组合（Random Positive 200）。我们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用聚宽对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这三个组合进行回测，在2017年5月1日买入组合中所有股票，每只股票的买入额相等，然后在2018年4月30日卖出这个组合中的所有股票。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回测结果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如图1所示，基准指标为中证500指数。</w:t>
      </w:r>
    </w:p>
    <w:p w:rsidR="007B0869" w:rsidRDefault="007B0869" w:rsidP="007B0869">
      <w:pPr>
        <w:ind w:left="420"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7B0869" w:rsidRDefault="007B0869" w:rsidP="007B0869">
      <w:pPr>
        <w:ind w:left="420"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40528" wp14:editId="1B56C865">
                <wp:simplePos x="0" y="0"/>
                <wp:positionH relativeFrom="column">
                  <wp:posOffset>751205</wp:posOffset>
                </wp:positionH>
                <wp:positionV relativeFrom="paragraph">
                  <wp:posOffset>2619375</wp:posOffset>
                </wp:positionV>
                <wp:extent cx="3772535" cy="6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0869" w:rsidRPr="007125E5" w:rsidRDefault="007B0869" w:rsidP="007B0869">
                            <w:pPr>
                              <w:pStyle w:val="a5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 w:rsidRPr="007125E5"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 w:rsidRPr="007125E5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7125E5">
                              <w:rPr>
                                <w:sz w:val="24"/>
                              </w:rPr>
                              <w:fldChar w:fldCharType="begin"/>
                            </w:r>
                            <w:r w:rsidRPr="007125E5">
                              <w:rPr>
                                <w:sz w:val="24"/>
                              </w:rPr>
                              <w:instrText xml:space="preserve"> </w:instrText>
                            </w:r>
                            <w:r w:rsidRPr="007125E5">
                              <w:rPr>
                                <w:rFonts w:hint="eastAsia"/>
                                <w:sz w:val="24"/>
                              </w:rPr>
                              <w:instrText xml:space="preserve">SEQ </w:instrText>
                            </w:r>
                            <w:r w:rsidRPr="007125E5">
                              <w:rPr>
                                <w:rFonts w:hint="eastAsia"/>
                                <w:sz w:val="24"/>
                              </w:rPr>
                              <w:instrText>图</w:instrText>
                            </w:r>
                            <w:r w:rsidRPr="007125E5">
                              <w:rPr>
                                <w:rFonts w:hint="eastAsia"/>
                                <w:sz w:val="24"/>
                              </w:rPr>
                              <w:instrText xml:space="preserve"> \* ARABIC</w:instrText>
                            </w:r>
                            <w:r w:rsidRPr="007125E5">
                              <w:rPr>
                                <w:sz w:val="24"/>
                              </w:rPr>
                              <w:instrText xml:space="preserve"> </w:instrText>
                            </w:r>
                            <w:r w:rsidRPr="007125E5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7125E5">
                              <w:rPr>
                                <w:sz w:val="24"/>
                              </w:rPr>
                              <w:fldChar w:fldCharType="end"/>
                            </w:r>
                            <w:r w:rsidRPr="007125E5">
                              <w:rPr>
                                <w:rFonts w:hint="eastAsia"/>
                                <w:sz w:val="24"/>
                              </w:rPr>
                              <w:t xml:space="preserve"> Logistic</w:t>
                            </w:r>
                            <w:r w:rsidRPr="007125E5">
                              <w:rPr>
                                <w:rFonts w:hint="eastAsia"/>
                                <w:sz w:val="24"/>
                              </w:rPr>
                              <w:t>模型预测概率分布直方图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59.15pt;margin-top:206.25pt;width:297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" stroked="f">
                <v:textbox style="mso-fit-shape-to-text:t" inset="0,0,0,0">
                  <w:txbxContent>
                    <w:p w:rsidR="007B0869" w:rsidRPr="007125E5" w:rsidRDefault="007B0869" w:rsidP="007B0869">
                      <w:pPr>
                        <w:pStyle w:val="a5"/>
                        <w:jc w:val="center"/>
                        <w:rPr>
                          <w:noProof/>
                          <w:sz w:val="28"/>
                        </w:rPr>
                      </w:pPr>
                      <w:r w:rsidRPr="007125E5">
                        <w:rPr>
                          <w:rFonts w:hint="eastAsia"/>
                          <w:sz w:val="24"/>
                        </w:rPr>
                        <w:t>图</w:t>
                      </w:r>
                      <w:r w:rsidRPr="007125E5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7125E5">
                        <w:rPr>
                          <w:sz w:val="24"/>
                        </w:rPr>
                        <w:fldChar w:fldCharType="begin"/>
                      </w:r>
                      <w:r w:rsidRPr="007125E5">
                        <w:rPr>
                          <w:sz w:val="24"/>
                        </w:rPr>
                        <w:instrText xml:space="preserve"> </w:instrText>
                      </w:r>
                      <w:r w:rsidRPr="007125E5">
                        <w:rPr>
                          <w:rFonts w:hint="eastAsia"/>
                          <w:sz w:val="24"/>
                        </w:rPr>
                        <w:instrText xml:space="preserve">SEQ </w:instrText>
                      </w:r>
                      <w:r w:rsidRPr="007125E5">
                        <w:rPr>
                          <w:rFonts w:hint="eastAsia"/>
                          <w:sz w:val="24"/>
                        </w:rPr>
                        <w:instrText>图</w:instrText>
                      </w:r>
                      <w:r w:rsidRPr="007125E5">
                        <w:rPr>
                          <w:rFonts w:hint="eastAsia"/>
                          <w:sz w:val="24"/>
                        </w:rPr>
                        <w:instrText xml:space="preserve"> \* ARABIC</w:instrText>
                      </w:r>
                      <w:r w:rsidRPr="007125E5">
                        <w:rPr>
                          <w:sz w:val="24"/>
                        </w:rPr>
                        <w:instrText xml:space="preserve"> </w:instrText>
                      </w:r>
                      <w:r w:rsidRPr="007125E5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</w:t>
                      </w:r>
                      <w:r w:rsidRPr="007125E5">
                        <w:rPr>
                          <w:sz w:val="24"/>
                        </w:rPr>
                        <w:fldChar w:fldCharType="end"/>
                      </w:r>
                      <w:r w:rsidRPr="007125E5">
                        <w:rPr>
                          <w:rFonts w:hint="eastAsia"/>
                          <w:sz w:val="24"/>
                        </w:rPr>
                        <w:t xml:space="preserve"> Logistic</w:t>
                      </w:r>
                      <w:r w:rsidRPr="007125E5">
                        <w:rPr>
                          <w:rFonts w:hint="eastAsia"/>
                          <w:sz w:val="24"/>
                        </w:rPr>
                        <w:t>模型预测概率分布直方图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527DB7" wp14:editId="56ADCA11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3715200" cy="247680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869" w:rsidRDefault="007B0869" w:rsidP="007B086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6C560" wp14:editId="1B3EC985">
                <wp:simplePos x="0" y="0"/>
                <wp:positionH relativeFrom="column">
                  <wp:posOffset>600075</wp:posOffset>
                </wp:positionH>
                <wp:positionV relativeFrom="paragraph">
                  <wp:posOffset>3352800</wp:posOffset>
                </wp:positionV>
                <wp:extent cx="4200525" cy="200025"/>
                <wp:effectExtent l="0" t="0" r="9525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0869" w:rsidRPr="00F516C6" w:rsidRDefault="007B0869" w:rsidP="007B0869">
                            <w:pPr>
                              <w:pStyle w:val="a5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F516C6">
                              <w:rPr>
                                <w:sz w:val="24"/>
                              </w:rPr>
                              <w:fldChar w:fldCharType="begin"/>
                            </w:r>
                            <w:r w:rsidRPr="00F516C6">
                              <w:rPr>
                                <w:sz w:val="24"/>
                              </w:rPr>
                              <w:instrText xml:space="preserve"> </w:instrText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instrText xml:space="preserve">SEQ </w:instrText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instrText>图</w:instrText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instrText xml:space="preserve"> \* ARABIC</w:instrText>
                            </w:r>
                            <w:r w:rsidRPr="00F516C6">
                              <w:rPr>
                                <w:sz w:val="24"/>
                              </w:rPr>
                              <w:instrText xml:space="preserve"> </w:instrText>
                            </w:r>
                            <w:r w:rsidRPr="00F516C6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Pr="00F516C6">
                              <w:rPr>
                                <w:sz w:val="24"/>
                              </w:rPr>
                              <w:fldChar w:fldCharType="end"/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Logistic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模型</w:t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>不同</w:t>
                            </w:r>
                            <w:proofErr w:type="gramStart"/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>组合回测结果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47.25pt;margin-top:264pt;width:330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" stroked="f">
                <v:textbox inset="0,0,0,0">
                  <w:txbxContent>
                    <w:p w:rsidR="007B0869" w:rsidRPr="00F516C6" w:rsidRDefault="007B0869" w:rsidP="007B0869">
                      <w:pPr>
                        <w:pStyle w:val="a5"/>
                        <w:jc w:val="center"/>
                        <w:rPr>
                          <w:noProof/>
                          <w:sz w:val="24"/>
                        </w:rPr>
                      </w:pPr>
                      <w:r w:rsidRPr="00F516C6">
                        <w:rPr>
                          <w:rFonts w:hint="eastAsia"/>
                          <w:sz w:val="24"/>
                        </w:rPr>
                        <w:t>图</w:t>
                      </w:r>
                      <w:r w:rsidRPr="00F516C6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F516C6">
                        <w:rPr>
                          <w:sz w:val="24"/>
                        </w:rPr>
                        <w:fldChar w:fldCharType="begin"/>
                      </w:r>
                      <w:r w:rsidRPr="00F516C6">
                        <w:rPr>
                          <w:sz w:val="24"/>
                        </w:rPr>
                        <w:instrText xml:space="preserve"> </w:instrText>
                      </w:r>
                      <w:r w:rsidRPr="00F516C6">
                        <w:rPr>
                          <w:rFonts w:hint="eastAsia"/>
                          <w:sz w:val="24"/>
                        </w:rPr>
                        <w:instrText xml:space="preserve">SEQ </w:instrText>
                      </w:r>
                      <w:r w:rsidRPr="00F516C6">
                        <w:rPr>
                          <w:rFonts w:hint="eastAsia"/>
                          <w:sz w:val="24"/>
                        </w:rPr>
                        <w:instrText>图</w:instrText>
                      </w:r>
                      <w:r w:rsidRPr="00F516C6">
                        <w:rPr>
                          <w:rFonts w:hint="eastAsia"/>
                          <w:sz w:val="24"/>
                        </w:rPr>
                        <w:instrText xml:space="preserve"> \* ARABIC</w:instrText>
                      </w:r>
                      <w:r w:rsidRPr="00F516C6">
                        <w:rPr>
                          <w:sz w:val="24"/>
                        </w:rPr>
                        <w:instrText xml:space="preserve"> </w:instrText>
                      </w:r>
                      <w:r w:rsidRPr="00F516C6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 w:rsidRPr="00F516C6">
                        <w:rPr>
                          <w:sz w:val="24"/>
                        </w:rPr>
                        <w:fldChar w:fldCharType="end"/>
                      </w:r>
                      <w:r w:rsidRPr="00F516C6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Logistic</w:t>
                      </w:r>
                      <w:r>
                        <w:rPr>
                          <w:rFonts w:hint="eastAsia"/>
                          <w:sz w:val="24"/>
                        </w:rPr>
                        <w:t>模型</w:t>
                      </w:r>
                      <w:r w:rsidRPr="00F516C6">
                        <w:rPr>
                          <w:rFonts w:hint="eastAsia"/>
                          <w:sz w:val="24"/>
                        </w:rPr>
                        <w:t>不同</w:t>
                      </w:r>
                      <w:proofErr w:type="gramStart"/>
                      <w:r w:rsidRPr="00F516C6">
                        <w:rPr>
                          <w:rFonts w:hint="eastAsia"/>
                          <w:sz w:val="24"/>
                        </w:rPr>
                        <w:t>组合回测结果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2C5BE65" wp14:editId="072602AF">
            <wp:simplePos x="0" y="0"/>
            <wp:positionH relativeFrom="column">
              <wp:posOffset>-611505</wp:posOffset>
            </wp:positionH>
            <wp:positionV relativeFrom="paragraph">
              <wp:posOffset>85725</wp:posOffset>
            </wp:positionV>
            <wp:extent cx="6497955" cy="318897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869" w:rsidRPr="0034488B" w:rsidRDefault="007B0869" w:rsidP="007B0869">
      <w:pPr>
        <w:rPr>
          <w:rFonts w:ascii="宋体" w:eastAsia="宋体" w:hAnsi="宋体"/>
          <w:sz w:val="24"/>
          <w:szCs w:val="24"/>
        </w:rPr>
      </w:pPr>
    </w:p>
    <w:p w:rsidR="007B0869" w:rsidRDefault="007B0869" w:rsidP="007B0869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非平衡数据的Logistic模型</w:t>
      </w:r>
    </w:p>
    <w:p w:rsidR="007B0869" w:rsidRDefault="007B0869" w:rsidP="007B0869">
      <w:pPr>
        <w:widowControl/>
        <w:ind w:left="42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于实际上市公司的数量远远超过被证监会处罚的公司数量，如果仅用财务造假的公司和相同数量的对照样本构造模型，可能会造成模型的欠拟合。因此，我们选择所有的上市公司2012年到2015年的财务指标数据以及所有的财务造假公司的财务指标作为样本，一共9257+120个样本。然后，我们同样采用Logistic回归模型对样本建模，但是与平衡数据Logistic模型不同的是，这里我们给予数据量小的造假样本更高的权重，给予数据量大的对照样本小的权重。权重的选择依赖于不同标签样本数量，而且权重之和为1。对于负样本，权重选择为9257/(9257+120)，对于对照样本，权重为120/(9257+120)。</w:t>
      </w:r>
      <w:r w:rsidRPr="0071046B">
        <w:rPr>
          <w:rFonts w:ascii="宋体" w:eastAsia="宋体" w:hAnsi="宋体" w:cs="宋体" w:hint="eastAsia"/>
          <w:kern w:val="0"/>
          <w:sz w:val="24"/>
          <w:szCs w:val="24"/>
        </w:rPr>
        <w:t>结果如表</w:t>
      </w:r>
      <w:r>
        <w:rPr>
          <w:rFonts w:ascii="宋体" w:eastAsia="宋体" w:hAnsi="宋体" w:cs="宋体" w:hint="eastAsia"/>
          <w:kern w:val="0"/>
          <w:sz w:val="24"/>
          <w:szCs w:val="24"/>
        </w:rPr>
        <w:t>2所示</w:t>
      </w:r>
      <w:r w:rsidRPr="0071046B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我们可以看到，相对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于平衡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数据模型，非平衡数据模型的各个指标都有明显下降，特别是精确度（Precision）和F1得分。这是由于非平衡数据模型预测中，过多的未造假样本被错误预测为造假样本。而AUC和召回率（Recall）在两个模型中并没有特别大的差别。</w:t>
      </w:r>
    </w:p>
    <w:p w:rsidR="007B0869" w:rsidRPr="0017591F" w:rsidRDefault="007B0869" w:rsidP="007B0869">
      <w:pPr>
        <w:widowControl/>
        <w:ind w:left="420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0869" w:rsidRDefault="007B0869" w:rsidP="007B0869">
      <w:pPr>
        <w:pStyle w:val="a5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2 </w:t>
      </w:r>
      <w:r>
        <w:rPr>
          <w:rFonts w:hint="eastAsia"/>
        </w:rPr>
        <w:t>非平衡数据</w:t>
      </w:r>
      <w:r w:rsidRPr="00A41AF6">
        <w:rPr>
          <w:rFonts w:hint="eastAsia"/>
        </w:rPr>
        <w:t xml:space="preserve"> Logistic</w:t>
      </w:r>
      <w:r w:rsidRPr="00A41AF6">
        <w:rPr>
          <w:rFonts w:hint="eastAsia"/>
        </w:rPr>
        <w:t>模型评估结果</w:t>
      </w:r>
    </w:p>
    <w:p w:rsidR="007B0869" w:rsidRPr="00B963FE" w:rsidRDefault="007B0869" w:rsidP="007B0869"/>
    <w:tbl>
      <w:tblPr>
        <w:tblStyle w:val="-1"/>
        <w:tblW w:w="47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5"/>
        <w:gridCol w:w="2014"/>
        <w:gridCol w:w="2014"/>
        <w:gridCol w:w="2014"/>
      </w:tblGrid>
      <w:tr w:rsidR="007B0869" w:rsidRPr="001D7AB6" w:rsidTr="0024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7B0869" w:rsidRPr="0024205D" w:rsidRDefault="007B0869" w:rsidP="0024205D">
            <w:pPr>
              <w:jc w:val="center"/>
              <w:rPr>
                <w:rFonts w:asciiTheme="minorEastAsia" w:hAnsiTheme="minorEastAsia"/>
              </w:rPr>
            </w:pPr>
            <w:r w:rsidRPr="0024205D">
              <w:rPr>
                <w:rFonts w:asciiTheme="minorEastAsia" w:hAnsiTheme="minorEastAsia" w:cs="宋体"/>
                <w:kern w:val="0"/>
                <w:sz w:val="24"/>
                <w:szCs w:val="24"/>
              </w:rPr>
              <w:t>AUC</w:t>
            </w:r>
          </w:p>
        </w:tc>
        <w:tc>
          <w:tcPr>
            <w:tcW w:w="1250" w:type="pct"/>
            <w:vAlign w:val="center"/>
          </w:tcPr>
          <w:p w:rsidR="007B0869" w:rsidRPr="0024205D" w:rsidRDefault="007B0869" w:rsidP="00242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4205D">
              <w:rPr>
                <w:rFonts w:asciiTheme="minorEastAsia" w:hAnsiTheme="minorEastAsia" w:cs="宋体"/>
                <w:kern w:val="0"/>
                <w:sz w:val="24"/>
                <w:szCs w:val="24"/>
              </w:rPr>
              <w:t>Precision</w:t>
            </w:r>
          </w:p>
        </w:tc>
        <w:tc>
          <w:tcPr>
            <w:tcW w:w="1250" w:type="pct"/>
            <w:vAlign w:val="center"/>
          </w:tcPr>
          <w:p w:rsidR="007B0869" w:rsidRPr="0024205D" w:rsidRDefault="007B0869" w:rsidP="00242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4205D">
              <w:rPr>
                <w:rFonts w:asciiTheme="minorEastAsia" w:hAnsiTheme="minorEastAsia" w:cs="宋体"/>
                <w:kern w:val="0"/>
                <w:sz w:val="24"/>
                <w:szCs w:val="24"/>
              </w:rPr>
              <w:t>Recall</w:t>
            </w:r>
          </w:p>
        </w:tc>
        <w:tc>
          <w:tcPr>
            <w:tcW w:w="1250" w:type="pct"/>
            <w:vAlign w:val="center"/>
          </w:tcPr>
          <w:p w:rsidR="007B0869" w:rsidRPr="0024205D" w:rsidRDefault="007B0869" w:rsidP="002420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4205D">
              <w:rPr>
                <w:rFonts w:asciiTheme="minorEastAsia" w:hAnsiTheme="minorEastAsia" w:cs="宋体"/>
                <w:kern w:val="0"/>
                <w:sz w:val="24"/>
                <w:szCs w:val="24"/>
              </w:rPr>
              <w:t>F1</w:t>
            </w:r>
          </w:p>
        </w:tc>
      </w:tr>
      <w:tr w:rsidR="007B0869" w:rsidRPr="001D7AB6" w:rsidTr="0024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B0869" w:rsidRPr="0024205D" w:rsidRDefault="007B0869" w:rsidP="0024205D">
            <w:pPr>
              <w:jc w:val="center"/>
              <w:rPr>
                <w:rFonts w:asciiTheme="minorEastAsia" w:hAnsiTheme="minorEastAsia"/>
                <w:b w:val="0"/>
                <w:i/>
              </w:rPr>
            </w:pPr>
            <w:r w:rsidRPr="0024205D">
              <w:rPr>
                <w:rFonts w:asciiTheme="minorEastAsia" w:hAnsiTheme="minorEastAsia" w:cs="宋体"/>
                <w:kern w:val="0"/>
                <w:sz w:val="24"/>
                <w:szCs w:val="24"/>
              </w:rPr>
              <w:t>0.4917</w:t>
            </w:r>
          </w:p>
        </w:tc>
        <w:tc>
          <w:tcPr>
            <w:tcW w:w="125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B0869" w:rsidRPr="0024205D" w:rsidRDefault="007B0869" w:rsidP="0024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4205D">
              <w:rPr>
                <w:rFonts w:asciiTheme="minorEastAsia" w:hAnsiTheme="minorEastAsia" w:cs="宋体"/>
                <w:kern w:val="0"/>
                <w:sz w:val="24"/>
                <w:szCs w:val="24"/>
              </w:rPr>
              <w:t>0.0075</w:t>
            </w:r>
          </w:p>
        </w:tc>
        <w:tc>
          <w:tcPr>
            <w:tcW w:w="125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B0869" w:rsidRPr="0024205D" w:rsidRDefault="007B0869" w:rsidP="0024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4205D">
              <w:rPr>
                <w:rFonts w:asciiTheme="minorEastAsia" w:hAnsiTheme="minorEastAsia" w:cs="宋体"/>
                <w:kern w:val="0"/>
                <w:sz w:val="24"/>
                <w:szCs w:val="24"/>
              </w:rPr>
              <w:t>0.5243</w:t>
            </w:r>
          </w:p>
        </w:tc>
        <w:tc>
          <w:tcPr>
            <w:tcW w:w="125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B0869" w:rsidRPr="0024205D" w:rsidRDefault="007B0869" w:rsidP="002420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4205D">
              <w:rPr>
                <w:rFonts w:asciiTheme="minorEastAsia" w:hAnsiTheme="minorEastAsia" w:cs="宋体"/>
                <w:kern w:val="0"/>
                <w:sz w:val="24"/>
                <w:szCs w:val="24"/>
              </w:rPr>
              <w:t>0.0147</w:t>
            </w:r>
          </w:p>
        </w:tc>
      </w:tr>
    </w:tbl>
    <w:p w:rsidR="007B0869" w:rsidRPr="0071046B" w:rsidRDefault="007B0869" w:rsidP="007B0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0869" w:rsidRPr="007125E5" w:rsidRDefault="007B0869" w:rsidP="007B0869">
      <w:pPr>
        <w:pStyle w:val="a4"/>
        <w:widowControl/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同样的，我们也可以用非平衡Logistic回归模型预测所有2016年上市公司的财务造假概率。我们预测的所有公司造假概率分布直方图如图3所示。大部分公司（73%）同样被预测为没有造假。</w:t>
      </w:r>
      <w:r w:rsidRPr="00BF573F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>
        <w:rPr>
          <w:rFonts w:ascii="宋体" w:eastAsia="宋体" w:hAnsi="宋体" w:cs="宋体" w:hint="eastAsia"/>
          <w:kern w:val="0"/>
          <w:sz w:val="24"/>
          <w:szCs w:val="24"/>
        </w:rPr>
        <w:t>所有</w:t>
      </w:r>
      <w:r w:rsidRPr="00BF573F">
        <w:rPr>
          <w:rFonts w:ascii="宋体" w:eastAsia="宋体" w:hAnsi="宋体" w:cs="宋体" w:hint="eastAsia"/>
          <w:kern w:val="0"/>
          <w:sz w:val="24"/>
          <w:szCs w:val="24"/>
        </w:rPr>
        <w:t>公司进行预测</w:t>
      </w:r>
      <w:r>
        <w:rPr>
          <w:rFonts w:ascii="宋体" w:eastAsia="宋体" w:hAnsi="宋体" w:cs="宋体" w:hint="eastAsia"/>
          <w:kern w:val="0"/>
          <w:sz w:val="24"/>
          <w:szCs w:val="24"/>
        </w:rPr>
        <w:t>后</w:t>
      </w:r>
      <w:r w:rsidRPr="00BF573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我们也按照预测概率将所有公司分为3组，进行了回测，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回测结果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如图4所示。</w:t>
      </w: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可以发现，非平衡Logistic模型中的最可能造假组合和最不可能造假组合之间的收益差更大，说明了此模型能够显著区分不同财务类型的股票。</w:t>
      </w:r>
    </w:p>
    <w:p w:rsidR="007B0869" w:rsidRDefault="007B0869" w:rsidP="007B086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B9F65" wp14:editId="3A5ED676">
                <wp:simplePos x="0" y="0"/>
                <wp:positionH relativeFrom="column">
                  <wp:posOffset>750570</wp:posOffset>
                </wp:positionH>
                <wp:positionV relativeFrom="paragraph">
                  <wp:posOffset>2616835</wp:posOffset>
                </wp:positionV>
                <wp:extent cx="3772535" cy="1981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53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0869" w:rsidRPr="007125E5" w:rsidRDefault="007B0869" w:rsidP="007B0869">
                            <w:pPr>
                              <w:pStyle w:val="a5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 w:rsidRPr="007125E5"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 w:rsidRPr="007125E5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  <w:r w:rsidRPr="007125E5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非平衡</w:t>
                            </w:r>
                            <w:r w:rsidRPr="007125E5">
                              <w:rPr>
                                <w:rFonts w:hint="eastAsia"/>
                                <w:sz w:val="24"/>
                              </w:rPr>
                              <w:t>Logistic</w:t>
                            </w:r>
                            <w:r w:rsidRPr="007125E5">
                              <w:rPr>
                                <w:rFonts w:hint="eastAsia"/>
                                <w:sz w:val="24"/>
                              </w:rPr>
                              <w:t>模型预测概率分布直方图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8" type="#_x0000_t202" style="position:absolute;left:0;text-align:left;margin-left:59.1pt;margin-top:206.05pt;width:297.05pt;height:1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" stroked="f">
                <v:textbox style="mso-fit-shape-to-text:t" inset="0,0,0,0">
                  <w:txbxContent>
                    <w:p w:rsidR="007B0869" w:rsidRPr="007125E5" w:rsidRDefault="007B0869" w:rsidP="007B0869">
                      <w:pPr>
                        <w:pStyle w:val="a5"/>
                        <w:jc w:val="center"/>
                        <w:rPr>
                          <w:noProof/>
                          <w:sz w:val="28"/>
                        </w:rPr>
                      </w:pPr>
                      <w:r w:rsidRPr="007125E5">
                        <w:rPr>
                          <w:rFonts w:hint="eastAsia"/>
                          <w:sz w:val="24"/>
                        </w:rPr>
                        <w:t>图</w:t>
                      </w:r>
                      <w:r w:rsidRPr="007125E5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3</w:t>
                      </w:r>
                      <w:r w:rsidRPr="007125E5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非平衡</w:t>
                      </w:r>
                      <w:r w:rsidRPr="007125E5">
                        <w:rPr>
                          <w:rFonts w:hint="eastAsia"/>
                          <w:sz w:val="24"/>
                        </w:rPr>
                        <w:t>Logistic</w:t>
                      </w:r>
                      <w:r w:rsidRPr="007125E5">
                        <w:rPr>
                          <w:rFonts w:hint="eastAsia"/>
                          <w:sz w:val="24"/>
                        </w:rPr>
                        <w:t>模型预测概率分布直方图</w:t>
                      </w:r>
                    </w:p>
                  </w:txbxContent>
                </v:textbox>
              </v:shape>
            </w:pict>
          </mc:Fallback>
        </mc:AlternateContent>
      </w:r>
    </w:p>
    <w:p w:rsidR="007B0869" w:rsidRDefault="007B0869" w:rsidP="007B086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C23EB" wp14:editId="430AD686">
                <wp:simplePos x="0" y="0"/>
                <wp:positionH relativeFrom="column">
                  <wp:posOffset>489585</wp:posOffset>
                </wp:positionH>
                <wp:positionV relativeFrom="paragraph">
                  <wp:posOffset>3110230</wp:posOffset>
                </wp:positionV>
                <wp:extent cx="4295775" cy="238125"/>
                <wp:effectExtent l="0" t="0" r="9525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0869" w:rsidRPr="00F516C6" w:rsidRDefault="007B0869" w:rsidP="007B0869">
                            <w:pPr>
                              <w:pStyle w:val="a5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4</w:t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非平衡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Logistic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模型</w:t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>不同</w:t>
                            </w:r>
                            <w:proofErr w:type="gramStart"/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>组合回测结果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29" type="#_x0000_t202" style="position:absolute;left:0;text-align:left;margin-left:38.55pt;margin-top:244.9pt;width:338.2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" stroked="f">
                <v:textbox inset="0,0,0,0">
                  <w:txbxContent>
                    <w:p w:rsidR="007B0869" w:rsidRPr="00F516C6" w:rsidRDefault="007B0869" w:rsidP="007B0869">
                      <w:pPr>
                        <w:pStyle w:val="a5"/>
                        <w:jc w:val="center"/>
                        <w:rPr>
                          <w:noProof/>
                          <w:sz w:val="24"/>
                        </w:rPr>
                      </w:pPr>
                      <w:r w:rsidRPr="00F516C6">
                        <w:rPr>
                          <w:rFonts w:hint="eastAsia"/>
                          <w:sz w:val="24"/>
                        </w:rPr>
                        <w:t>图</w:t>
                      </w:r>
                      <w:r w:rsidRPr="00F516C6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4</w:t>
                      </w:r>
                      <w:r w:rsidRPr="00F516C6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非平衡</w:t>
                      </w:r>
                      <w:r>
                        <w:rPr>
                          <w:rFonts w:hint="eastAsia"/>
                          <w:sz w:val="24"/>
                        </w:rPr>
                        <w:t>Logistic</w:t>
                      </w:r>
                      <w:r>
                        <w:rPr>
                          <w:rFonts w:hint="eastAsia"/>
                          <w:sz w:val="24"/>
                        </w:rPr>
                        <w:t>模型</w:t>
                      </w:r>
                      <w:r w:rsidRPr="00F516C6">
                        <w:rPr>
                          <w:rFonts w:hint="eastAsia"/>
                          <w:sz w:val="24"/>
                        </w:rPr>
                        <w:t>不同</w:t>
                      </w:r>
                      <w:proofErr w:type="gramStart"/>
                      <w:r w:rsidRPr="00F516C6">
                        <w:rPr>
                          <w:rFonts w:hint="eastAsia"/>
                          <w:sz w:val="24"/>
                        </w:rPr>
                        <w:t>组合回测结果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1D49897" wp14:editId="23EE9E64">
            <wp:simplePos x="0" y="0"/>
            <wp:positionH relativeFrom="column">
              <wp:posOffset>-314325</wp:posOffset>
            </wp:positionH>
            <wp:positionV relativeFrom="paragraph">
              <wp:posOffset>2685415</wp:posOffset>
            </wp:positionV>
            <wp:extent cx="5971540" cy="3019425"/>
            <wp:effectExtent l="0" t="0" r="0" b="952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143F2B63" wp14:editId="56702C43">
            <wp:simplePos x="0" y="0"/>
            <wp:positionH relativeFrom="column">
              <wp:posOffset>638175</wp:posOffset>
            </wp:positionH>
            <wp:positionV relativeFrom="paragraph">
              <wp:posOffset>-30480</wp:posOffset>
            </wp:positionV>
            <wp:extent cx="3617595" cy="2447925"/>
            <wp:effectExtent l="0" t="0" r="1905" b="952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869" w:rsidRPr="00B963FE" w:rsidRDefault="007B0869" w:rsidP="007B0869">
      <w:pPr>
        <w:rPr>
          <w:rFonts w:ascii="宋体" w:eastAsia="宋体" w:hAnsi="宋体" w:cs="宋体"/>
          <w:kern w:val="0"/>
          <w:sz w:val="24"/>
          <w:szCs w:val="24"/>
        </w:rPr>
      </w:pPr>
    </w:p>
    <w:p w:rsidR="007B0869" w:rsidRPr="002F27D4" w:rsidRDefault="007B0869" w:rsidP="007B0869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2F27D4">
        <w:rPr>
          <w:rFonts w:hint="eastAsia"/>
          <w:sz w:val="24"/>
          <w:szCs w:val="24"/>
        </w:rPr>
        <w:t>LSTM</w:t>
      </w:r>
      <w:r w:rsidRPr="002F27D4">
        <w:rPr>
          <w:rFonts w:hint="eastAsia"/>
          <w:sz w:val="24"/>
          <w:szCs w:val="24"/>
        </w:rPr>
        <w:t>模型</w:t>
      </w:r>
    </w:p>
    <w:p w:rsidR="007B0869" w:rsidRDefault="007B0869" w:rsidP="007B0869">
      <w:pPr>
        <w:ind w:leftChars="200" w:left="420" w:firstLine="420"/>
        <w:rPr>
          <w:sz w:val="24"/>
          <w:szCs w:val="24"/>
        </w:rPr>
      </w:pPr>
      <w:r w:rsidRPr="00F47B9C"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上市</w:t>
      </w:r>
      <w:r w:rsidRPr="00F47B9C">
        <w:rPr>
          <w:rFonts w:hint="eastAsia"/>
          <w:sz w:val="24"/>
          <w:szCs w:val="24"/>
        </w:rPr>
        <w:t>公司每年的财务数据</w:t>
      </w:r>
      <w:r>
        <w:rPr>
          <w:rFonts w:hint="eastAsia"/>
          <w:sz w:val="24"/>
          <w:szCs w:val="24"/>
        </w:rPr>
        <w:t>和前</w:t>
      </w:r>
      <w:r w:rsidRPr="00F47B9C">
        <w:rPr>
          <w:rFonts w:hint="eastAsia"/>
          <w:sz w:val="24"/>
          <w:szCs w:val="24"/>
        </w:rPr>
        <w:t>几年的财务</w:t>
      </w:r>
      <w:r>
        <w:rPr>
          <w:rFonts w:hint="eastAsia"/>
          <w:sz w:val="24"/>
          <w:szCs w:val="24"/>
        </w:rPr>
        <w:t>数据</w:t>
      </w:r>
      <w:r w:rsidRPr="00F47B9C">
        <w:rPr>
          <w:rFonts w:hint="eastAsia"/>
          <w:sz w:val="24"/>
          <w:szCs w:val="24"/>
        </w:rPr>
        <w:t>都有关系，因此我们探索使用</w:t>
      </w:r>
      <w:r>
        <w:rPr>
          <w:rFonts w:hint="eastAsia"/>
          <w:sz w:val="24"/>
          <w:szCs w:val="24"/>
        </w:rPr>
        <w:t>造假公司前几年的财务数据对其财务造假进行预测。我们首先收集上市公司在造假年份前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年及当年的财务数据，然后运用</w:t>
      </w:r>
      <w:r>
        <w:rPr>
          <w:rFonts w:hint="eastAsia"/>
          <w:sz w:val="24"/>
          <w:szCs w:val="24"/>
        </w:rPr>
        <w:t>LSTM</w:t>
      </w:r>
      <w:r>
        <w:rPr>
          <w:rFonts w:hint="eastAsia"/>
          <w:sz w:val="24"/>
          <w:szCs w:val="24"/>
        </w:rPr>
        <w:t>模型对其造假概率进行预测。</w:t>
      </w:r>
    </w:p>
    <w:p w:rsidR="007B0869" w:rsidRDefault="007B0869" w:rsidP="007B0869">
      <w:pPr>
        <w:ind w:leftChars="200" w:left="420" w:firstLine="420"/>
        <w:rPr>
          <w:sz w:val="24"/>
          <w:szCs w:val="24"/>
        </w:rPr>
      </w:pPr>
      <w:r w:rsidRPr="00D378BC">
        <w:rPr>
          <w:rFonts w:hint="eastAsia"/>
          <w:sz w:val="24"/>
          <w:szCs w:val="24"/>
        </w:rPr>
        <w:t>由于</w:t>
      </w:r>
      <w:r w:rsidRPr="00D378BC">
        <w:rPr>
          <w:rFonts w:hint="eastAsia"/>
          <w:sz w:val="24"/>
          <w:szCs w:val="24"/>
        </w:rPr>
        <w:t>LSTM</w:t>
      </w:r>
      <w:r w:rsidRPr="00D378BC">
        <w:rPr>
          <w:rFonts w:hint="eastAsia"/>
          <w:sz w:val="24"/>
          <w:szCs w:val="24"/>
        </w:rPr>
        <w:t>模型</w:t>
      </w:r>
      <w:r>
        <w:rPr>
          <w:rFonts w:hint="eastAsia"/>
          <w:sz w:val="24"/>
          <w:szCs w:val="24"/>
        </w:rPr>
        <w:t>使用梯度下降算法对模型进行优化，需要大量的数据，但是我们收集到的造假样本只有</w:t>
      </w:r>
      <w:r>
        <w:rPr>
          <w:rFonts w:hint="eastAsia"/>
          <w:sz w:val="24"/>
          <w:szCs w:val="24"/>
        </w:rPr>
        <w:t>120</w:t>
      </w:r>
      <w:r>
        <w:rPr>
          <w:rFonts w:hint="eastAsia"/>
          <w:sz w:val="24"/>
          <w:szCs w:val="24"/>
        </w:rPr>
        <w:t>个，如果直接使用这些样本建模会造成模型的过拟合。因此，我们需要对数据进行扩充。首先，我们可以按照前述方法随机构造对照样本。但是对每一个造假样本，我们随机选择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个对照样本，即将对照数据扩充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倍。对于每一个造假样本，我们对其每一个特</w:t>
      </w:r>
      <w:r>
        <w:rPr>
          <w:rFonts w:hint="eastAsia"/>
          <w:sz w:val="24"/>
          <w:szCs w:val="24"/>
        </w:rPr>
        <w:lastRenderedPageBreak/>
        <w:t>征加一个正态分布噪声，均值为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，标准差为其实际标准差的</w:t>
      </w:r>
      <w:r>
        <w:rPr>
          <w:rFonts w:hint="eastAsia"/>
          <w:sz w:val="24"/>
          <w:szCs w:val="24"/>
        </w:rPr>
        <w:t>0.1</w:t>
      </w:r>
      <w:r>
        <w:rPr>
          <w:rFonts w:hint="eastAsia"/>
          <w:sz w:val="24"/>
          <w:szCs w:val="24"/>
        </w:rPr>
        <w:t>倍。对造假样本重复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次上述操作，加上原始样本，可以得到与对照样本同样数据量的负样本。通过这个方法，我们可以将原始数据扩充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倍。同样的，我们选择</w:t>
      </w:r>
      <w:proofErr w:type="gramStart"/>
      <w:r>
        <w:rPr>
          <w:rFonts w:hint="eastAsia"/>
          <w:sz w:val="24"/>
          <w:szCs w:val="24"/>
        </w:rPr>
        <w:t>缺失值</w:t>
      </w:r>
      <w:proofErr w:type="gramEnd"/>
      <w:r>
        <w:rPr>
          <w:rFonts w:hint="eastAsia"/>
          <w:sz w:val="24"/>
          <w:szCs w:val="24"/>
        </w:rPr>
        <w:t>小于</w:t>
      </w:r>
      <w:r>
        <w:rPr>
          <w:rFonts w:hint="eastAsia"/>
          <w:sz w:val="24"/>
          <w:szCs w:val="24"/>
        </w:rPr>
        <w:t>50%</w:t>
      </w:r>
      <w:r>
        <w:rPr>
          <w:rFonts w:hint="eastAsia"/>
          <w:sz w:val="24"/>
          <w:szCs w:val="24"/>
        </w:rPr>
        <w:t>的指标作为最终指标，并且对</w:t>
      </w:r>
      <w:r>
        <w:rPr>
          <w:rFonts w:ascii="宋体" w:eastAsia="宋体" w:hAnsi="宋体" w:cs="宋体" w:hint="eastAsia"/>
          <w:kern w:val="0"/>
          <w:sz w:val="24"/>
          <w:szCs w:val="24"/>
        </w:rPr>
        <w:t>资产负债表、利润表和现金流量表的数据进行处理</w:t>
      </w:r>
      <w:r>
        <w:rPr>
          <w:rFonts w:hint="eastAsia"/>
          <w:sz w:val="24"/>
          <w:szCs w:val="24"/>
        </w:rPr>
        <w:t>。另外，我们对每一个指标的值标准化为</w:t>
      </w:r>
      <w:r>
        <w:rPr>
          <w:rFonts w:hint="eastAsia"/>
          <w:sz w:val="24"/>
          <w:szCs w:val="24"/>
        </w:rPr>
        <w:t>0-1</w:t>
      </w:r>
      <w:r>
        <w:rPr>
          <w:rFonts w:hint="eastAsia"/>
          <w:sz w:val="24"/>
          <w:szCs w:val="24"/>
        </w:rPr>
        <w:t>之间的值，防止指标的量纲不同对模型的影响。</w:t>
      </w:r>
    </w:p>
    <w:p w:rsidR="007B0869" w:rsidRDefault="007B0869" w:rsidP="007B0869">
      <w:pPr>
        <w:ind w:leftChars="200"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LSTM</w:t>
      </w:r>
      <w:r>
        <w:rPr>
          <w:rFonts w:hint="eastAsia"/>
          <w:sz w:val="24"/>
          <w:szCs w:val="24"/>
        </w:rPr>
        <w:t>模型中，我们选择造假时间在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年之前的数据作为训练集，</w:t>
      </w: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年及其后的数据作为测试集。有些上市公司在造假年份并没有前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年的财务数据，因此我们需要在</w:t>
      </w:r>
      <w:r>
        <w:rPr>
          <w:rFonts w:hint="eastAsia"/>
          <w:sz w:val="24"/>
          <w:szCs w:val="24"/>
        </w:rPr>
        <w:t>LSTM</w:t>
      </w:r>
      <w:proofErr w:type="gramStart"/>
      <w:r>
        <w:rPr>
          <w:rFonts w:hint="eastAsia"/>
          <w:sz w:val="24"/>
          <w:szCs w:val="24"/>
        </w:rPr>
        <w:t>层之前</w:t>
      </w:r>
      <w:proofErr w:type="gramEnd"/>
      <w:r>
        <w:rPr>
          <w:rFonts w:hint="eastAsia"/>
          <w:sz w:val="24"/>
          <w:szCs w:val="24"/>
        </w:rPr>
        <w:t>加入</w:t>
      </w:r>
      <w:r>
        <w:rPr>
          <w:rFonts w:hint="eastAsia"/>
          <w:sz w:val="24"/>
          <w:szCs w:val="24"/>
        </w:rPr>
        <w:t>Masking</w:t>
      </w:r>
      <w:r>
        <w:rPr>
          <w:rFonts w:hint="eastAsia"/>
          <w:sz w:val="24"/>
          <w:szCs w:val="24"/>
        </w:rPr>
        <w:t>层，并将没有数据的那年的值都设置为一个</w:t>
      </w:r>
      <w:r>
        <w:rPr>
          <w:rFonts w:hint="eastAsia"/>
          <w:sz w:val="24"/>
          <w:szCs w:val="24"/>
        </w:rPr>
        <w:t>Mask</w:t>
      </w:r>
      <w:r>
        <w:rPr>
          <w:rFonts w:hint="eastAsia"/>
          <w:sz w:val="24"/>
          <w:szCs w:val="24"/>
        </w:rPr>
        <w:t>值，例如</w:t>
      </w:r>
      <w:r>
        <w:rPr>
          <w:rFonts w:hint="eastAsia"/>
          <w:sz w:val="24"/>
          <w:szCs w:val="24"/>
        </w:rPr>
        <w:t>-100</w:t>
      </w:r>
      <w:r>
        <w:rPr>
          <w:rFonts w:hint="eastAsia"/>
          <w:sz w:val="24"/>
          <w:szCs w:val="24"/>
        </w:rPr>
        <w:t>。当</w:t>
      </w:r>
      <w:r>
        <w:rPr>
          <w:rFonts w:hint="eastAsia"/>
          <w:sz w:val="24"/>
          <w:szCs w:val="24"/>
        </w:rPr>
        <w:t>LSTM</w:t>
      </w:r>
      <w:r>
        <w:rPr>
          <w:rFonts w:hint="eastAsia"/>
          <w:sz w:val="24"/>
          <w:szCs w:val="24"/>
        </w:rPr>
        <w:t>层发现输入均为</w:t>
      </w:r>
      <w:r>
        <w:rPr>
          <w:rFonts w:hint="eastAsia"/>
          <w:sz w:val="24"/>
          <w:szCs w:val="24"/>
        </w:rPr>
        <w:t>Mask</w:t>
      </w:r>
      <w:r>
        <w:rPr>
          <w:rFonts w:hint="eastAsia"/>
          <w:sz w:val="24"/>
          <w:szCs w:val="24"/>
        </w:rPr>
        <w:t>值时，会跳过这个输入。由于我们的数据量比较小，因此</w:t>
      </w:r>
      <w:r>
        <w:rPr>
          <w:rFonts w:hint="eastAsia"/>
          <w:sz w:val="24"/>
          <w:szCs w:val="24"/>
        </w:rPr>
        <w:t>LSTM</w:t>
      </w:r>
      <w:r>
        <w:rPr>
          <w:rFonts w:hint="eastAsia"/>
          <w:sz w:val="24"/>
          <w:szCs w:val="24"/>
        </w:rPr>
        <w:t>的单元数不宜过大，我们将其设置为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。为了防止过拟合，我们在</w:t>
      </w:r>
      <w:r>
        <w:rPr>
          <w:rFonts w:hint="eastAsia"/>
          <w:sz w:val="24"/>
          <w:szCs w:val="24"/>
        </w:rPr>
        <w:t>LSTM</w:t>
      </w:r>
      <w:r>
        <w:rPr>
          <w:rFonts w:hint="eastAsia"/>
          <w:sz w:val="24"/>
          <w:szCs w:val="24"/>
        </w:rPr>
        <w:t>和全连接层加入正则项</w:t>
      </w:r>
      <w:r>
        <w:rPr>
          <w:rFonts w:hint="eastAsia"/>
          <w:sz w:val="24"/>
          <w:szCs w:val="24"/>
        </w:rPr>
        <w:t>l1_l2</w:t>
      </w:r>
      <w:r>
        <w:rPr>
          <w:rFonts w:hint="eastAsia"/>
          <w:sz w:val="24"/>
          <w:szCs w:val="24"/>
        </w:rPr>
        <w:t>，即</w:t>
      </w:r>
      <w:proofErr w:type="spellStart"/>
      <w:r w:rsidRPr="00DA685D">
        <w:rPr>
          <w:sz w:val="24"/>
          <w:szCs w:val="24"/>
        </w:rPr>
        <w:t>ElasticNet</w:t>
      </w:r>
      <w:proofErr w:type="spellEnd"/>
      <w:r>
        <w:rPr>
          <w:rFonts w:hint="eastAsia"/>
          <w:sz w:val="24"/>
          <w:szCs w:val="24"/>
        </w:rPr>
        <w:t>正则化。同时，我们将训练数据分为训练集与验证集，当验证集的损失不在下降时，停止训练，防止由于模型过拟合导致模型泛化能力降低。整个</w:t>
      </w:r>
      <w:r>
        <w:rPr>
          <w:rFonts w:hint="eastAsia"/>
          <w:sz w:val="24"/>
          <w:szCs w:val="24"/>
        </w:rPr>
        <w:t>LSTM</w:t>
      </w:r>
      <w:r>
        <w:rPr>
          <w:rFonts w:hint="eastAsia"/>
          <w:sz w:val="24"/>
          <w:szCs w:val="24"/>
        </w:rPr>
        <w:t>模型参数如下：</w:t>
      </w:r>
    </w:p>
    <w:p w:rsidR="007B0869" w:rsidRDefault="007B0869" w:rsidP="007B0869">
      <w:pPr>
        <w:ind w:leftChars="200" w:left="420" w:firstLine="420"/>
        <w:rPr>
          <w:sz w:val="24"/>
          <w:szCs w:val="24"/>
        </w:rPr>
      </w:pPr>
    </w:p>
    <w:p w:rsidR="007B0869" w:rsidRPr="00DA685D" w:rsidRDefault="007B0869" w:rsidP="007B0869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Layer (type)         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Output Shape      </w:t>
      </w:r>
      <w:proofErr w:type="spellStart"/>
      <w:r w:rsidRPr="00DA685D">
        <w:rPr>
          <w:sz w:val="24"/>
          <w:szCs w:val="24"/>
        </w:rPr>
        <w:t>Param</w:t>
      </w:r>
      <w:proofErr w:type="spellEnd"/>
      <w:r w:rsidRPr="00DA685D">
        <w:rPr>
          <w:sz w:val="24"/>
          <w:szCs w:val="24"/>
        </w:rPr>
        <w:t xml:space="preserve"> #   </w:t>
      </w:r>
    </w:p>
    <w:p w:rsidR="007B0869" w:rsidRPr="00DA685D" w:rsidRDefault="007B0869" w:rsidP="007B0869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=============</w:t>
      </w:r>
      <w:r w:rsidRPr="00DA685D">
        <w:rPr>
          <w:sz w:val="24"/>
          <w:szCs w:val="24"/>
        </w:rPr>
        <w:t>============================================</w:t>
      </w:r>
    </w:p>
    <w:p w:rsidR="007B0869" w:rsidRPr="00DA685D" w:rsidRDefault="007B0869" w:rsidP="007B0869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masking</w:t>
      </w:r>
      <w:proofErr w:type="gramEnd"/>
      <w:r>
        <w:rPr>
          <w:sz w:val="24"/>
          <w:szCs w:val="24"/>
        </w:rPr>
        <w:t xml:space="preserve"> (Masking)     </w:t>
      </w:r>
      <w:r w:rsidRPr="00DA685D">
        <w:rPr>
          <w:sz w:val="24"/>
          <w:szCs w:val="24"/>
        </w:rPr>
        <w:t>(None, 5</w:t>
      </w:r>
      <w:r>
        <w:rPr>
          <w:sz w:val="24"/>
          <w:szCs w:val="24"/>
        </w:rPr>
        <w:t xml:space="preserve">, 71)       </w:t>
      </w:r>
      <w:r w:rsidRPr="00DA685D">
        <w:rPr>
          <w:sz w:val="24"/>
          <w:szCs w:val="24"/>
        </w:rPr>
        <w:t xml:space="preserve">0         </w:t>
      </w:r>
    </w:p>
    <w:p w:rsidR="007B0869" w:rsidRPr="00DA685D" w:rsidRDefault="007B0869" w:rsidP="007B0869">
      <w:pPr>
        <w:ind w:leftChars="200" w:left="420" w:firstLine="420"/>
        <w:rPr>
          <w:sz w:val="24"/>
          <w:szCs w:val="24"/>
        </w:rPr>
      </w:pPr>
      <w:r w:rsidRPr="00DA685D">
        <w:rPr>
          <w:sz w:val="24"/>
          <w:szCs w:val="24"/>
        </w:rPr>
        <w:t>_________________________________</w:t>
      </w:r>
      <w:r>
        <w:rPr>
          <w:sz w:val="24"/>
          <w:szCs w:val="24"/>
        </w:rPr>
        <w:t>________________________</w:t>
      </w:r>
    </w:p>
    <w:p w:rsidR="007B0869" w:rsidRPr="00DA685D" w:rsidRDefault="007B0869" w:rsidP="007B0869">
      <w:pPr>
        <w:ind w:leftChars="200"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lstm</w:t>
      </w:r>
      <w:proofErr w:type="spellEnd"/>
      <w:proofErr w:type="gramEnd"/>
      <w:r>
        <w:rPr>
          <w:sz w:val="24"/>
          <w:szCs w:val="24"/>
        </w:rPr>
        <w:t xml:space="preserve"> (LSTM)           (None, 16)         </w:t>
      </w:r>
      <w:r w:rsidRPr="00DA685D">
        <w:rPr>
          <w:sz w:val="24"/>
          <w:szCs w:val="24"/>
        </w:rPr>
        <w:t xml:space="preserve">5632      </w:t>
      </w:r>
    </w:p>
    <w:p w:rsidR="007B0869" w:rsidRPr="00DA685D" w:rsidRDefault="007B0869" w:rsidP="007B0869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_______________________</w:t>
      </w:r>
      <w:r w:rsidRPr="00DA685D">
        <w:rPr>
          <w:sz w:val="24"/>
          <w:szCs w:val="24"/>
        </w:rPr>
        <w:t>____</w:t>
      </w:r>
      <w:r>
        <w:rPr>
          <w:sz w:val="24"/>
          <w:szCs w:val="24"/>
        </w:rPr>
        <w:t>_____________________________</w:t>
      </w:r>
    </w:p>
    <w:p w:rsidR="007B0869" w:rsidRPr="00DA685D" w:rsidRDefault="007B0869" w:rsidP="007B0869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dense</w:t>
      </w:r>
      <w:proofErr w:type="gramEnd"/>
      <w:r w:rsidRPr="00DA685D">
        <w:rPr>
          <w:sz w:val="24"/>
          <w:szCs w:val="24"/>
        </w:rPr>
        <w:t xml:space="preserve"> (Dense)       </w:t>
      </w:r>
      <w:r>
        <w:rPr>
          <w:sz w:val="24"/>
          <w:szCs w:val="24"/>
        </w:rPr>
        <w:t xml:space="preserve">  (None, 1)          </w:t>
      </w:r>
      <w:r w:rsidRPr="00DA685D">
        <w:rPr>
          <w:sz w:val="24"/>
          <w:szCs w:val="24"/>
        </w:rPr>
        <w:t xml:space="preserve">17        </w:t>
      </w:r>
    </w:p>
    <w:p w:rsidR="007B0869" w:rsidRPr="00DA685D" w:rsidRDefault="007B0869" w:rsidP="007B0869">
      <w:pPr>
        <w:ind w:leftChars="200" w:left="420" w:firstLine="420"/>
        <w:rPr>
          <w:sz w:val="24"/>
          <w:szCs w:val="24"/>
        </w:rPr>
      </w:pPr>
      <w:r w:rsidRPr="00DA685D">
        <w:rPr>
          <w:sz w:val="24"/>
          <w:szCs w:val="24"/>
        </w:rPr>
        <w:t>=================================</w:t>
      </w:r>
      <w:r>
        <w:rPr>
          <w:sz w:val="24"/>
          <w:szCs w:val="24"/>
        </w:rPr>
        <w:t>========================</w:t>
      </w:r>
    </w:p>
    <w:p w:rsidR="007B0869" w:rsidRPr="00DA685D" w:rsidRDefault="007B0869" w:rsidP="007B0869">
      <w:pPr>
        <w:ind w:leftChars="200" w:left="420" w:firstLine="420"/>
        <w:rPr>
          <w:sz w:val="24"/>
          <w:szCs w:val="24"/>
        </w:rPr>
      </w:pPr>
      <w:r w:rsidRPr="00DA685D">
        <w:rPr>
          <w:sz w:val="24"/>
          <w:szCs w:val="24"/>
        </w:rPr>
        <w:t xml:space="preserve">Total </w:t>
      </w:r>
      <w:proofErr w:type="spellStart"/>
      <w:r w:rsidRPr="00DA685D">
        <w:rPr>
          <w:sz w:val="24"/>
          <w:szCs w:val="24"/>
        </w:rPr>
        <w:t>params</w:t>
      </w:r>
      <w:proofErr w:type="spellEnd"/>
      <w:r w:rsidRPr="00DA685D">
        <w:rPr>
          <w:sz w:val="24"/>
          <w:szCs w:val="24"/>
        </w:rPr>
        <w:t>: 5,649</w:t>
      </w:r>
    </w:p>
    <w:p w:rsidR="007B0869" w:rsidRPr="00DA685D" w:rsidRDefault="007B0869" w:rsidP="007B0869">
      <w:pPr>
        <w:ind w:leftChars="200" w:left="420" w:firstLine="420"/>
        <w:rPr>
          <w:sz w:val="24"/>
          <w:szCs w:val="24"/>
        </w:rPr>
      </w:pPr>
      <w:r w:rsidRPr="00DA685D">
        <w:rPr>
          <w:sz w:val="24"/>
          <w:szCs w:val="24"/>
        </w:rPr>
        <w:t xml:space="preserve">Trainable </w:t>
      </w:r>
      <w:proofErr w:type="spellStart"/>
      <w:r w:rsidRPr="00DA685D">
        <w:rPr>
          <w:sz w:val="24"/>
          <w:szCs w:val="24"/>
        </w:rPr>
        <w:t>params</w:t>
      </w:r>
      <w:proofErr w:type="spellEnd"/>
      <w:r w:rsidRPr="00DA685D">
        <w:rPr>
          <w:sz w:val="24"/>
          <w:szCs w:val="24"/>
        </w:rPr>
        <w:t>: 5,649</w:t>
      </w:r>
    </w:p>
    <w:p w:rsidR="007B0869" w:rsidRPr="00DA685D" w:rsidRDefault="007B0869" w:rsidP="007B0869">
      <w:pPr>
        <w:ind w:leftChars="200" w:left="420" w:firstLine="420"/>
        <w:rPr>
          <w:sz w:val="24"/>
          <w:szCs w:val="24"/>
        </w:rPr>
      </w:pPr>
      <w:r w:rsidRPr="00DA685D">
        <w:rPr>
          <w:sz w:val="24"/>
          <w:szCs w:val="24"/>
        </w:rPr>
        <w:t xml:space="preserve">Non-trainable </w:t>
      </w:r>
      <w:proofErr w:type="spellStart"/>
      <w:r w:rsidRPr="00DA685D">
        <w:rPr>
          <w:sz w:val="24"/>
          <w:szCs w:val="24"/>
        </w:rPr>
        <w:t>params</w:t>
      </w:r>
      <w:proofErr w:type="spellEnd"/>
      <w:r w:rsidRPr="00DA685D">
        <w:rPr>
          <w:sz w:val="24"/>
          <w:szCs w:val="24"/>
        </w:rPr>
        <w:t>: 0</w:t>
      </w:r>
    </w:p>
    <w:p w:rsidR="007B0869" w:rsidRDefault="007B0869" w:rsidP="007B0869">
      <w:pPr>
        <w:ind w:leftChars="200" w:left="420" w:firstLine="420"/>
        <w:rPr>
          <w:sz w:val="24"/>
          <w:szCs w:val="24"/>
        </w:rPr>
      </w:pPr>
      <w:r w:rsidRPr="00DA685D">
        <w:rPr>
          <w:sz w:val="24"/>
          <w:szCs w:val="24"/>
        </w:rPr>
        <w:t>________________________________________________________</w:t>
      </w:r>
      <w:r>
        <w:rPr>
          <w:sz w:val="24"/>
          <w:szCs w:val="24"/>
        </w:rPr>
        <w:t>_</w:t>
      </w:r>
    </w:p>
    <w:p w:rsidR="007B0869" w:rsidRDefault="007B0869" w:rsidP="007B0869">
      <w:pPr>
        <w:ind w:leftChars="200"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注：第二行的</w:t>
      </w:r>
      <w:r>
        <w:rPr>
          <w:rFonts w:hint="eastAsia"/>
          <w:sz w:val="24"/>
          <w:szCs w:val="24"/>
        </w:rPr>
        <w:t>71</w:t>
      </w:r>
      <w:r>
        <w:rPr>
          <w:rFonts w:hint="eastAsia"/>
          <w:sz w:val="24"/>
          <w:szCs w:val="24"/>
        </w:rPr>
        <w:t>表示我们选择的特征数为</w:t>
      </w:r>
      <w:r>
        <w:rPr>
          <w:rFonts w:hint="eastAsia"/>
          <w:sz w:val="24"/>
          <w:szCs w:val="24"/>
        </w:rPr>
        <w:t>71</w:t>
      </w:r>
      <w:r>
        <w:rPr>
          <w:rFonts w:hint="eastAsia"/>
          <w:sz w:val="24"/>
          <w:szCs w:val="24"/>
        </w:rPr>
        <w:t>。</w:t>
      </w:r>
    </w:p>
    <w:p w:rsidR="007B0869" w:rsidRDefault="007B0869" w:rsidP="007B0869">
      <w:pPr>
        <w:ind w:leftChars="200" w:left="420" w:firstLine="420"/>
        <w:rPr>
          <w:sz w:val="24"/>
          <w:szCs w:val="24"/>
        </w:rPr>
      </w:pPr>
    </w:p>
    <w:p w:rsidR="007B0869" w:rsidRPr="007125E5" w:rsidRDefault="007B0869" w:rsidP="007B0869">
      <w:pPr>
        <w:pStyle w:val="a4"/>
        <w:widowControl/>
        <w:ind w:leftChars="200"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类似于Logistic模型，</w:t>
      </w:r>
      <w:r w:rsidRPr="00DC0C36">
        <w:rPr>
          <w:rFonts w:ascii="宋体" w:eastAsia="宋体" w:hAnsi="宋体" w:cs="宋体" w:hint="eastAsia"/>
          <w:kern w:val="0"/>
          <w:sz w:val="24"/>
          <w:szCs w:val="24"/>
        </w:rPr>
        <w:t>为了防止随机选择的对照样本对预测结果的影响，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我们也进行10次试验，将10次试验的平均值作为最终的结果。结果如表2。同时我们也对2016年的上市公司财务造假情况进行了预测，概率预测直方图如图3所示。最后我们也按照预测概率将所有公司分为3组，进行了回测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回测结果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如图4所示。</w:t>
      </w:r>
    </w:p>
    <w:p w:rsidR="007B0869" w:rsidRDefault="007B0869" w:rsidP="007B0869">
      <w:pPr>
        <w:pStyle w:val="a5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3  LSTM</w:t>
      </w:r>
      <w:r w:rsidRPr="00A41AF6">
        <w:rPr>
          <w:rFonts w:hint="eastAsia"/>
        </w:rPr>
        <w:t>模型评估结果</w:t>
      </w:r>
    </w:p>
    <w:p w:rsidR="007B0869" w:rsidRPr="00B963FE" w:rsidRDefault="007B0869" w:rsidP="007B0869"/>
    <w:tbl>
      <w:tblPr>
        <w:tblStyle w:val="-1"/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2419"/>
        <w:gridCol w:w="2419"/>
      </w:tblGrid>
      <w:tr w:rsidR="007B0869" w:rsidTr="0024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vAlign w:val="center"/>
          </w:tcPr>
          <w:p w:rsidR="007B0869" w:rsidRDefault="007B0869" w:rsidP="0024205D">
            <w:pPr>
              <w:pStyle w:val="a4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AUC</w:t>
            </w:r>
          </w:p>
        </w:tc>
        <w:tc>
          <w:tcPr>
            <w:tcW w:w="2419" w:type="dxa"/>
            <w:vAlign w:val="center"/>
          </w:tcPr>
          <w:p w:rsidR="007B0869" w:rsidRDefault="007B0869" w:rsidP="0024205D">
            <w:pPr>
              <w:pStyle w:val="a4"/>
              <w:widowControl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Precision</w:t>
            </w:r>
          </w:p>
        </w:tc>
        <w:tc>
          <w:tcPr>
            <w:tcW w:w="2419" w:type="dxa"/>
            <w:vAlign w:val="center"/>
          </w:tcPr>
          <w:p w:rsidR="007B0869" w:rsidRDefault="007B0869" w:rsidP="0024205D">
            <w:pPr>
              <w:pStyle w:val="a4"/>
              <w:widowControl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Recall</w:t>
            </w:r>
          </w:p>
        </w:tc>
      </w:tr>
      <w:tr w:rsidR="007B0869" w:rsidTr="0024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vAlign w:val="center"/>
          </w:tcPr>
          <w:p w:rsidR="007B0869" w:rsidRPr="00FF439B" w:rsidRDefault="007B0869" w:rsidP="0024205D">
            <w:pPr>
              <w:pStyle w:val="a4"/>
              <w:widowControl/>
              <w:ind w:firstLineChars="0" w:firstLine="0"/>
              <w:jc w:val="center"/>
              <w:rPr>
                <w:rFonts w:ascii="宋体" w:eastAsia="宋体" w:hAnsi="宋体" w:cs="宋体"/>
                <w:b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kern w:val="0"/>
                <w:sz w:val="24"/>
                <w:szCs w:val="24"/>
              </w:rPr>
              <w:t>0.5939</w:t>
            </w:r>
          </w:p>
        </w:tc>
        <w:tc>
          <w:tcPr>
            <w:tcW w:w="2419" w:type="dxa"/>
            <w:vAlign w:val="center"/>
          </w:tcPr>
          <w:p w:rsidR="007B0869" w:rsidRDefault="007B0869" w:rsidP="0024205D">
            <w:pPr>
              <w:pStyle w:val="a4"/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0.6340</w:t>
            </w:r>
          </w:p>
        </w:tc>
        <w:tc>
          <w:tcPr>
            <w:tcW w:w="2419" w:type="dxa"/>
            <w:vAlign w:val="center"/>
          </w:tcPr>
          <w:p w:rsidR="007B0869" w:rsidRDefault="007B0869" w:rsidP="0024205D">
            <w:pPr>
              <w:pStyle w:val="a4"/>
              <w:keepNext/>
              <w:widowControl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0.5280</w:t>
            </w:r>
          </w:p>
        </w:tc>
      </w:tr>
    </w:tbl>
    <w:p w:rsidR="007B0869" w:rsidRDefault="007B0869" w:rsidP="007B0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0869" w:rsidRDefault="007B0869" w:rsidP="007B0869">
      <w:pPr>
        <w:widowControl/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2E2FF81" wp14:editId="6970DFB6">
            <wp:simplePos x="0" y="0"/>
            <wp:positionH relativeFrom="column">
              <wp:posOffset>-465455</wp:posOffset>
            </wp:positionH>
            <wp:positionV relativeFrom="paragraph">
              <wp:posOffset>3168015</wp:posOffset>
            </wp:positionV>
            <wp:extent cx="6703695" cy="3381375"/>
            <wp:effectExtent l="0" t="0" r="1905" b="952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433FE1" wp14:editId="70F670C1">
                <wp:simplePos x="0" y="0"/>
                <wp:positionH relativeFrom="column">
                  <wp:posOffset>489585</wp:posOffset>
                </wp:positionH>
                <wp:positionV relativeFrom="paragraph">
                  <wp:posOffset>6615430</wp:posOffset>
                </wp:positionV>
                <wp:extent cx="4295775" cy="238125"/>
                <wp:effectExtent l="0" t="0" r="9525" b="95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0869" w:rsidRPr="00F516C6" w:rsidRDefault="007B0869" w:rsidP="007B0869">
                            <w:pPr>
                              <w:pStyle w:val="a5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6</w:t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LSTM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模型</w:t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>不同</w:t>
                            </w:r>
                            <w:proofErr w:type="gramStart"/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>组合回测结果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0" type="#_x0000_t202" style="position:absolute;margin-left:38.55pt;margin-top:520.9pt;width:338.2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" stroked="f">
                <v:textbox inset="0,0,0,0">
                  <w:txbxContent>
                    <w:p w:rsidR="007B0869" w:rsidRPr="00F516C6" w:rsidRDefault="007B0869" w:rsidP="007B0869">
                      <w:pPr>
                        <w:pStyle w:val="a5"/>
                        <w:jc w:val="center"/>
                        <w:rPr>
                          <w:noProof/>
                          <w:sz w:val="24"/>
                        </w:rPr>
                      </w:pPr>
                      <w:r w:rsidRPr="00F516C6">
                        <w:rPr>
                          <w:rFonts w:hint="eastAsia"/>
                          <w:sz w:val="24"/>
                        </w:rPr>
                        <w:t>图</w:t>
                      </w:r>
                      <w:r w:rsidRPr="00F516C6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6</w:t>
                      </w:r>
                      <w:r w:rsidRPr="00F516C6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LSTM</w:t>
                      </w:r>
                      <w:r>
                        <w:rPr>
                          <w:rFonts w:hint="eastAsia"/>
                          <w:sz w:val="24"/>
                        </w:rPr>
                        <w:t>模型</w:t>
                      </w:r>
                      <w:r w:rsidRPr="00F516C6">
                        <w:rPr>
                          <w:rFonts w:hint="eastAsia"/>
                          <w:sz w:val="24"/>
                        </w:rPr>
                        <w:t>不同</w:t>
                      </w:r>
                      <w:proofErr w:type="gramStart"/>
                      <w:r w:rsidRPr="00F516C6">
                        <w:rPr>
                          <w:rFonts w:hint="eastAsia"/>
                          <w:sz w:val="24"/>
                        </w:rPr>
                        <w:t>组合回测结果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08A09" wp14:editId="61CC40BA">
                <wp:simplePos x="0" y="0"/>
                <wp:positionH relativeFrom="column">
                  <wp:posOffset>718820</wp:posOffset>
                </wp:positionH>
                <wp:positionV relativeFrom="paragraph">
                  <wp:posOffset>2669540</wp:posOffset>
                </wp:positionV>
                <wp:extent cx="3837305" cy="19812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305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0869" w:rsidRPr="004C0660" w:rsidRDefault="007B0869" w:rsidP="007B0869">
                            <w:pPr>
                              <w:pStyle w:val="a5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4C0660"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 w:rsidRPr="004C0660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 w:rsidRPr="004C0660">
                              <w:rPr>
                                <w:sz w:val="24"/>
                              </w:rPr>
                              <w:fldChar w:fldCharType="begin"/>
                            </w:r>
                            <w:r w:rsidRPr="004C0660">
                              <w:rPr>
                                <w:sz w:val="24"/>
                              </w:rPr>
                              <w:instrText xml:space="preserve"> </w:instrText>
                            </w:r>
                            <w:r w:rsidRPr="004C0660">
                              <w:rPr>
                                <w:rFonts w:hint="eastAsia"/>
                                <w:sz w:val="24"/>
                              </w:rPr>
                              <w:instrText xml:space="preserve">SEQ </w:instrText>
                            </w:r>
                            <w:r w:rsidRPr="004C0660">
                              <w:rPr>
                                <w:rFonts w:hint="eastAsia"/>
                                <w:sz w:val="24"/>
                              </w:rPr>
                              <w:instrText>图</w:instrText>
                            </w:r>
                            <w:r w:rsidRPr="004C0660">
                              <w:rPr>
                                <w:rFonts w:hint="eastAsia"/>
                                <w:sz w:val="24"/>
                              </w:rPr>
                              <w:instrText xml:space="preserve"> \* ARABIC</w:instrText>
                            </w:r>
                            <w:r w:rsidRPr="004C0660">
                              <w:rPr>
                                <w:sz w:val="24"/>
                              </w:rPr>
                              <w:instrText xml:space="preserve"> </w:instrText>
                            </w:r>
                            <w:r w:rsidRPr="004C0660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 w:rsidRPr="004C0660">
                              <w:rPr>
                                <w:sz w:val="24"/>
                              </w:rPr>
                              <w:fldChar w:fldCharType="end"/>
                            </w:r>
                            <w:r w:rsidRPr="004C0660">
                              <w:rPr>
                                <w:rFonts w:hint="eastAsia"/>
                                <w:sz w:val="24"/>
                              </w:rPr>
                              <w:t xml:space="preserve"> LSTM</w:t>
                            </w:r>
                            <w:r w:rsidRPr="004C0660">
                              <w:rPr>
                                <w:rFonts w:hint="eastAsia"/>
                                <w:sz w:val="24"/>
                              </w:rPr>
                              <w:t>模型预测概率分布直方图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1" type="#_x0000_t202" style="position:absolute;margin-left:56.6pt;margin-top:210.2pt;width:302.15pt;height:1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" stroked="f">
                <v:textbox style="mso-fit-shape-to-text:t" inset="0,0,0,0">
                  <w:txbxContent>
                    <w:p w:rsidR="007B0869" w:rsidRPr="004C0660" w:rsidRDefault="007B0869" w:rsidP="007B0869">
                      <w:pPr>
                        <w:pStyle w:val="a5"/>
                        <w:jc w:val="center"/>
                        <w:rPr>
                          <w:noProof/>
                          <w:sz w:val="24"/>
                        </w:rPr>
                      </w:pPr>
                      <w:r w:rsidRPr="004C0660">
                        <w:rPr>
                          <w:rFonts w:hint="eastAsia"/>
                          <w:sz w:val="24"/>
                        </w:rPr>
                        <w:t>图</w:t>
                      </w:r>
                      <w:r w:rsidRPr="004C0660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 w:rsidRPr="004C0660">
                        <w:rPr>
                          <w:sz w:val="24"/>
                        </w:rPr>
                        <w:fldChar w:fldCharType="begin"/>
                      </w:r>
                      <w:r w:rsidRPr="004C0660">
                        <w:rPr>
                          <w:sz w:val="24"/>
                        </w:rPr>
                        <w:instrText xml:space="preserve"> </w:instrText>
                      </w:r>
                      <w:r w:rsidRPr="004C0660">
                        <w:rPr>
                          <w:rFonts w:hint="eastAsia"/>
                          <w:sz w:val="24"/>
                        </w:rPr>
                        <w:instrText xml:space="preserve">SEQ </w:instrText>
                      </w:r>
                      <w:r w:rsidRPr="004C0660">
                        <w:rPr>
                          <w:rFonts w:hint="eastAsia"/>
                          <w:sz w:val="24"/>
                        </w:rPr>
                        <w:instrText>图</w:instrText>
                      </w:r>
                      <w:r w:rsidRPr="004C0660">
                        <w:rPr>
                          <w:rFonts w:hint="eastAsia"/>
                          <w:sz w:val="24"/>
                        </w:rPr>
                        <w:instrText xml:space="preserve"> \* ARABIC</w:instrText>
                      </w:r>
                      <w:r w:rsidRPr="004C0660">
                        <w:rPr>
                          <w:sz w:val="24"/>
                        </w:rPr>
                        <w:instrText xml:space="preserve"> </w:instrText>
                      </w:r>
                      <w:r w:rsidRPr="004C0660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5</w:t>
                      </w:r>
                      <w:r w:rsidRPr="004C0660">
                        <w:rPr>
                          <w:sz w:val="24"/>
                        </w:rPr>
                        <w:fldChar w:fldCharType="end"/>
                      </w:r>
                      <w:r w:rsidRPr="004C0660">
                        <w:rPr>
                          <w:rFonts w:hint="eastAsia"/>
                          <w:sz w:val="24"/>
                        </w:rPr>
                        <w:t xml:space="preserve"> LSTM</w:t>
                      </w:r>
                      <w:r w:rsidRPr="004C0660">
                        <w:rPr>
                          <w:rFonts w:hint="eastAsia"/>
                          <w:sz w:val="24"/>
                        </w:rPr>
                        <w:t>模型预测概率分布直方图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3DC0804" wp14:editId="5B2C8999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3837600" cy="26100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869" w:rsidRDefault="007B0869" w:rsidP="007B0869">
      <w:pPr>
        <w:ind w:left="840" w:firstLine="420"/>
        <w:rPr>
          <w:sz w:val="24"/>
          <w:szCs w:val="24"/>
        </w:rPr>
      </w:pPr>
    </w:p>
    <w:p w:rsidR="007B0869" w:rsidRDefault="007B0869" w:rsidP="007B0869">
      <w:pPr>
        <w:ind w:left="840" w:firstLine="420"/>
        <w:rPr>
          <w:sz w:val="24"/>
          <w:szCs w:val="24"/>
        </w:rPr>
      </w:pPr>
    </w:p>
    <w:p w:rsidR="007B0869" w:rsidRDefault="007B0869" w:rsidP="007B0869">
      <w:pPr>
        <w:ind w:left="840" w:firstLine="420"/>
        <w:rPr>
          <w:sz w:val="24"/>
          <w:szCs w:val="24"/>
        </w:rPr>
      </w:pPr>
    </w:p>
    <w:p w:rsidR="007B0869" w:rsidRPr="0024205D" w:rsidRDefault="007B0869" w:rsidP="007B0869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4205D">
        <w:rPr>
          <w:rFonts w:ascii="宋体" w:eastAsia="宋体" w:hAnsi="宋体" w:hint="eastAsia"/>
          <w:sz w:val="24"/>
          <w:szCs w:val="24"/>
        </w:rPr>
        <w:t>本福特定</w:t>
      </w:r>
      <w:proofErr w:type="gramEnd"/>
      <w:r w:rsidRPr="0024205D">
        <w:rPr>
          <w:rFonts w:ascii="宋体" w:eastAsia="宋体" w:hAnsi="宋体" w:hint="eastAsia"/>
          <w:sz w:val="24"/>
          <w:szCs w:val="24"/>
        </w:rPr>
        <w:t>律</w:t>
      </w:r>
    </w:p>
    <w:p w:rsidR="007B0869" w:rsidRDefault="007B0869" w:rsidP="007B0869">
      <w:pPr>
        <w:ind w:left="840" w:firstLine="420"/>
        <w:rPr>
          <w:rFonts w:ascii="宋体" w:eastAsia="宋体" w:hAnsi="宋体"/>
          <w:sz w:val="24"/>
          <w:szCs w:val="24"/>
        </w:rPr>
      </w:pPr>
      <w:proofErr w:type="gramStart"/>
      <w:r w:rsidRPr="0024205D">
        <w:rPr>
          <w:rFonts w:ascii="宋体" w:eastAsia="宋体" w:hAnsi="宋体" w:hint="eastAsia"/>
          <w:sz w:val="24"/>
          <w:szCs w:val="24"/>
        </w:rPr>
        <w:t>本福特定</w:t>
      </w:r>
      <w:proofErr w:type="gramEnd"/>
      <w:r w:rsidRPr="0024205D">
        <w:rPr>
          <w:rFonts w:ascii="宋体" w:eastAsia="宋体" w:hAnsi="宋体" w:hint="eastAsia"/>
          <w:sz w:val="24"/>
          <w:szCs w:val="24"/>
        </w:rPr>
        <w:t>律是近来备受资本市场青睐的一种分析财务报告的方法。</w:t>
      </w:r>
      <w:proofErr w:type="gramStart"/>
      <w:r w:rsidRPr="0024205D">
        <w:rPr>
          <w:rFonts w:ascii="宋体" w:eastAsia="宋体" w:hAnsi="宋体" w:hint="eastAsia"/>
          <w:sz w:val="24"/>
          <w:szCs w:val="24"/>
        </w:rPr>
        <w:t>本福特定律因</w:t>
      </w:r>
      <w:proofErr w:type="gramEnd"/>
      <w:r w:rsidRPr="0024205D">
        <w:rPr>
          <w:rFonts w:ascii="宋体" w:eastAsia="宋体" w:hAnsi="宋体" w:hint="eastAsia"/>
          <w:sz w:val="24"/>
          <w:szCs w:val="24"/>
        </w:rPr>
        <w:t>20世纪早期英国物理学家本福特而得名，其内容是：自然数据源（信用卡账单、采购记录、现金收据）生成的数字中，约有30%的数字的首位数是1，如1、1314；首位数为2的数字约有18%；顺序递减，首位数为9的数字少于</w:t>
      </w:r>
      <w:r w:rsidRPr="0024205D">
        <w:rPr>
          <w:rFonts w:ascii="宋体" w:eastAsia="宋体" w:hAnsi="宋体"/>
          <w:sz w:val="24"/>
          <w:szCs w:val="24"/>
        </w:rPr>
        <w:t>5%</w:t>
      </w:r>
      <w:r w:rsidRPr="0024205D">
        <w:rPr>
          <w:rFonts w:ascii="宋体" w:eastAsia="宋体" w:hAnsi="宋体" w:hint="eastAsia"/>
          <w:sz w:val="24"/>
          <w:szCs w:val="24"/>
        </w:rPr>
        <w:t>。精确地数学表述为：在</w:t>
      </w:r>
      <w:r w:rsidRPr="0024205D">
        <w:rPr>
          <w:rFonts w:ascii="宋体" w:eastAsia="宋体" w:hAnsi="宋体"/>
          <w:sz w:val="24"/>
          <w:szCs w:val="24"/>
        </w:rPr>
        <w:t>b</w:t>
      </w:r>
      <w:r w:rsidRPr="0024205D">
        <w:rPr>
          <w:rFonts w:ascii="宋体" w:eastAsia="宋体" w:hAnsi="宋体" w:hint="eastAsia"/>
          <w:sz w:val="24"/>
          <w:szCs w:val="24"/>
        </w:rPr>
        <w:t>进位制中，以数</w:t>
      </w:r>
      <w:r w:rsidRPr="0024205D">
        <w:rPr>
          <w:rFonts w:ascii="宋体" w:eastAsia="宋体" w:hAnsi="宋体"/>
          <w:sz w:val="24"/>
          <w:szCs w:val="24"/>
        </w:rPr>
        <w:t>n</w:t>
      </w:r>
      <w:r w:rsidRPr="0024205D">
        <w:rPr>
          <w:rFonts w:ascii="宋体" w:eastAsia="宋体" w:hAnsi="宋体" w:hint="eastAsia"/>
          <w:sz w:val="24"/>
          <w:szCs w:val="24"/>
        </w:rPr>
        <w:t>起头的数出现的机率为</w:t>
      </w:r>
      <m:oMath>
        <m:func>
          <m:funcPr>
            <m:ctrlPr>
              <w:rPr>
                <w:rFonts w:ascii="Cambria Math" w:eastAsia="宋体" w:hAnsi="Cambria Math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n+1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⁡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(n)</m:t>
        </m:r>
      </m:oMath>
      <w:r w:rsidRPr="0024205D">
        <w:rPr>
          <w:rFonts w:ascii="宋体" w:eastAsia="宋体" w:hAnsi="宋体" w:hint="eastAsia"/>
          <w:sz w:val="24"/>
          <w:szCs w:val="24"/>
        </w:rPr>
        <w:t>。这个分布规律适用的数据集几乎无穷无尽，包括河流的长度、城市和国家的人口、证券交易所的成交量，当然会计数据（数据没有被人为操纵过）也同样适用。如</w:t>
      </w:r>
      <w:r w:rsidRPr="0024205D">
        <w:rPr>
          <w:rFonts w:ascii="宋体" w:eastAsia="宋体" w:hAnsi="宋体" w:hint="eastAsia"/>
          <w:sz w:val="24"/>
          <w:szCs w:val="24"/>
        </w:rPr>
        <w:lastRenderedPageBreak/>
        <w:t>果一组会计数据不</w:t>
      </w:r>
      <w:proofErr w:type="gramStart"/>
      <w:r w:rsidRPr="0024205D">
        <w:rPr>
          <w:rFonts w:ascii="宋体" w:eastAsia="宋体" w:hAnsi="宋体" w:hint="eastAsia"/>
          <w:sz w:val="24"/>
          <w:szCs w:val="24"/>
        </w:rPr>
        <w:t>符合本福特定</w:t>
      </w:r>
      <w:proofErr w:type="gramEnd"/>
      <w:r w:rsidRPr="0024205D">
        <w:rPr>
          <w:rFonts w:ascii="宋体" w:eastAsia="宋体" w:hAnsi="宋体" w:hint="eastAsia"/>
          <w:sz w:val="24"/>
          <w:szCs w:val="24"/>
        </w:rPr>
        <w:t>律的话，就存在被篡改过的嫌疑。</w:t>
      </w:r>
    </w:p>
    <w:p w:rsidR="007B0869" w:rsidRDefault="007B0869" w:rsidP="007B0869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首先收集所有财务造假公司财务报表中的所有财务指标，然后计算每个公司财报中的首位数字分布</w:t>
      </w:r>
      <w:proofErr w:type="gramStart"/>
      <w:r>
        <w:rPr>
          <w:rFonts w:ascii="宋体" w:eastAsia="宋体" w:hAnsi="宋体" w:hint="eastAsia"/>
          <w:sz w:val="24"/>
          <w:szCs w:val="24"/>
        </w:rPr>
        <w:t>和本福特定</w:t>
      </w:r>
      <w:proofErr w:type="gramEnd"/>
      <w:r>
        <w:rPr>
          <w:rFonts w:ascii="宋体" w:eastAsia="宋体" w:hAnsi="宋体" w:hint="eastAsia"/>
          <w:sz w:val="24"/>
          <w:szCs w:val="24"/>
        </w:rPr>
        <w:t>律中的期望分布的欧氏距离，将这个距离看作为</w:t>
      </w:r>
      <w:proofErr w:type="gramStart"/>
      <w:r>
        <w:rPr>
          <w:rFonts w:ascii="宋体" w:eastAsia="宋体" w:hAnsi="宋体" w:hint="eastAsia"/>
          <w:sz w:val="24"/>
          <w:szCs w:val="24"/>
        </w:rPr>
        <w:t>偏离本福特定</w:t>
      </w:r>
      <w:proofErr w:type="gramEnd"/>
      <w:r>
        <w:rPr>
          <w:rFonts w:ascii="宋体" w:eastAsia="宋体" w:hAnsi="宋体" w:hint="eastAsia"/>
          <w:sz w:val="24"/>
          <w:szCs w:val="24"/>
        </w:rPr>
        <w:t>律的程度。另外，同样分析未造假公司的财务报表中的所有财务指标，样本量为1200（即财务造假公司的数量的10倍）。不同类别样本</w:t>
      </w:r>
      <w:proofErr w:type="gramStart"/>
      <w:r>
        <w:rPr>
          <w:rFonts w:ascii="宋体" w:eastAsia="宋体" w:hAnsi="宋体" w:hint="eastAsia"/>
          <w:sz w:val="24"/>
          <w:szCs w:val="24"/>
        </w:rPr>
        <w:t>偏离本福特定</w:t>
      </w:r>
      <w:proofErr w:type="gramEnd"/>
      <w:r>
        <w:rPr>
          <w:rFonts w:ascii="宋体" w:eastAsia="宋体" w:hAnsi="宋体" w:hint="eastAsia"/>
          <w:sz w:val="24"/>
          <w:szCs w:val="24"/>
        </w:rPr>
        <w:t>律的程度的分布如图7所示。可以发现，未造假公司的</w:t>
      </w:r>
      <w:proofErr w:type="gramStart"/>
      <w:r>
        <w:rPr>
          <w:rFonts w:ascii="宋体" w:eastAsia="宋体" w:hAnsi="宋体" w:hint="eastAsia"/>
          <w:sz w:val="24"/>
          <w:szCs w:val="24"/>
        </w:rPr>
        <w:t>偏离本福特定</w:t>
      </w:r>
      <w:proofErr w:type="gramEnd"/>
      <w:r>
        <w:rPr>
          <w:rFonts w:ascii="宋体" w:eastAsia="宋体" w:hAnsi="宋体" w:hint="eastAsia"/>
          <w:sz w:val="24"/>
          <w:szCs w:val="24"/>
        </w:rPr>
        <w:t>律的程度更小。由于这两个样本均不符合正态分布，因此采用</w:t>
      </w:r>
      <w:r w:rsidRPr="00A66492">
        <w:rPr>
          <w:rFonts w:ascii="宋体" w:eastAsia="宋体" w:hAnsi="宋体" w:hint="eastAsia"/>
          <w:sz w:val="24"/>
          <w:szCs w:val="24"/>
        </w:rPr>
        <w:t>Wilcoxon秩和检验</w:t>
      </w:r>
      <w:r>
        <w:rPr>
          <w:rFonts w:ascii="宋体" w:eastAsia="宋体" w:hAnsi="宋体" w:hint="eastAsia"/>
          <w:sz w:val="24"/>
          <w:szCs w:val="24"/>
        </w:rPr>
        <w:t>对这两个分组检验其是否来自于同一个分布，检验的P值为0.4692&gt;0.05，不能拒绝原假设，即不能拒绝这两个来自于不同的分布。因此，在财务造假和未财务造假公司中，本福特分布并未有显著差别。</w:t>
      </w:r>
    </w:p>
    <w:p w:rsidR="007B0869" w:rsidRDefault="007B0869" w:rsidP="007B0869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4C92E" wp14:editId="1D36C0A1">
                <wp:simplePos x="0" y="0"/>
                <wp:positionH relativeFrom="column">
                  <wp:posOffset>537210</wp:posOffset>
                </wp:positionH>
                <wp:positionV relativeFrom="paragraph">
                  <wp:posOffset>2776220</wp:posOffset>
                </wp:positionV>
                <wp:extent cx="4200525" cy="247650"/>
                <wp:effectExtent l="0" t="0" r="9525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0869" w:rsidRPr="00F516C6" w:rsidRDefault="007B0869" w:rsidP="007B0869">
                            <w:pPr>
                              <w:pStyle w:val="a5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7</w:t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不同类别公司财务报表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</w:rPr>
                              <w:t>Benford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</w:rPr>
                              <w:t>分布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2" type="#_x0000_t202" style="position:absolute;left:0;text-align:left;margin-left:42.3pt;margin-top:218.6pt;width:330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" stroked="f">
                <v:textbox inset="0,0,0,0">
                  <w:txbxContent>
                    <w:p w:rsidR="007B0869" w:rsidRPr="00F516C6" w:rsidRDefault="007B0869" w:rsidP="007B0869">
                      <w:pPr>
                        <w:pStyle w:val="a5"/>
                        <w:jc w:val="center"/>
                        <w:rPr>
                          <w:noProof/>
                          <w:sz w:val="24"/>
                        </w:rPr>
                      </w:pPr>
                      <w:r w:rsidRPr="00F516C6">
                        <w:rPr>
                          <w:rFonts w:hint="eastAsia"/>
                          <w:sz w:val="24"/>
                        </w:rPr>
                        <w:t>图</w:t>
                      </w:r>
                      <w:r w:rsidRPr="00F516C6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7</w:t>
                      </w:r>
                      <w:r w:rsidRPr="00F516C6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不同类别公司财务报表</w:t>
                      </w: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Benford</w:t>
                      </w:r>
                      <w:proofErr w:type="spellEnd"/>
                      <w:r>
                        <w:rPr>
                          <w:rFonts w:hint="eastAsia"/>
                          <w:sz w:val="24"/>
                        </w:rPr>
                        <w:t>分布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888AEF0" wp14:editId="0EAC0DD9">
            <wp:simplePos x="0" y="0"/>
            <wp:positionH relativeFrom="column">
              <wp:posOffset>285115</wp:posOffset>
            </wp:positionH>
            <wp:positionV relativeFrom="paragraph">
              <wp:posOffset>68580</wp:posOffset>
            </wp:positionV>
            <wp:extent cx="4704715" cy="2627630"/>
            <wp:effectExtent l="0" t="0" r="635" b="127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869" w:rsidRDefault="007B0869" w:rsidP="007B0869">
      <w:pPr>
        <w:ind w:left="840" w:firstLine="420"/>
        <w:rPr>
          <w:rFonts w:ascii="宋体" w:eastAsia="宋体" w:hAnsi="宋体"/>
          <w:sz w:val="24"/>
          <w:szCs w:val="24"/>
        </w:rPr>
      </w:pPr>
    </w:p>
    <w:p w:rsidR="007B0869" w:rsidRDefault="007B0869" w:rsidP="007B0869">
      <w:pPr>
        <w:ind w:left="840" w:firstLine="420"/>
        <w:rPr>
          <w:rFonts w:ascii="宋体" w:eastAsia="宋体" w:hAnsi="宋体"/>
          <w:sz w:val="24"/>
          <w:szCs w:val="24"/>
        </w:rPr>
      </w:pPr>
    </w:p>
    <w:p w:rsidR="007B0869" w:rsidRPr="00DC6FBF" w:rsidRDefault="007B0869" w:rsidP="007B0869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另外，可以采用KS检验方法，检验单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样本数据是否</w:t>
      </w:r>
      <w:proofErr w:type="gramStart"/>
      <w:r>
        <w:rPr>
          <w:rFonts w:ascii="宋体" w:eastAsia="宋体" w:hAnsi="宋体" w:hint="eastAsia"/>
          <w:sz w:val="24"/>
          <w:szCs w:val="24"/>
        </w:rPr>
        <w:t>符合本福特定</w:t>
      </w:r>
      <w:proofErr w:type="gramEnd"/>
      <w:r>
        <w:rPr>
          <w:rFonts w:ascii="宋体" w:eastAsia="宋体" w:hAnsi="宋体" w:hint="eastAsia"/>
          <w:sz w:val="24"/>
          <w:szCs w:val="24"/>
        </w:rPr>
        <w:t>律。</w:t>
      </w:r>
      <w:r w:rsidRPr="00F023A4">
        <w:rPr>
          <w:rFonts w:ascii="宋体" w:eastAsia="宋体" w:hAnsi="宋体" w:hint="eastAsia"/>
          <w:sz w:val="24"/>
          <w:szCs w:val="24"/>
        </w:rPr>
        <w:t>KS的计算公式为：</w:t>
      </w:r>
      <w:r w:rsidRPr="00F023A4">
        <w:rPr>
          <w:rFonts w:ascii="宋体" w:eastAsia="宋体" w:hAnsi="宋体"/>
          <w:sz w:val="24"/>
          <w:szCs w:val="24"/>
        </w:rPr>
        <w:t>KS=Max(|AD1</w:t>
      </w:r>
      <w:r w:rsidRPr="00F023A4">
        <w:rPr>
          <w:rFonts w:ascii="MS Mincho" w:eastAsia="MS Mincho" w:hAnsi="MS Mincho" w:cs="MS Mincho" w:hint="eastAsia"/>
          <w:sz w:val="24"/>
          <w:szCs w:val="24"/>
        </w:rPr>
        <w:t>−</w:t>
      </w:r>
      <w:r w:rsidRPr="00F023A4">
        <w:rPr>
          <w:rFonts w:ascii="宋体" w:eastAsia="宋体" w:hAnsi="宋体"/>
          <w:sz w:val="24"/>
          <w:szCs w:val="24"/>
        </w:rPr>
        <w:t>ED1|,|(AD1+AD2)</w:t>
      </w:r>
      <w:r w:rsidRPr="00F023A4">
        <w:rPr>
          <w:rFonts w:ascii="MS Mincho" w:eastAsia="MS Mincho" w:hAnsi="MS Mincho" w:cs="MS Mincho" w:hint="eastAsia"/>
          <w:sz w:val="24"/>
          <w:szCs w:val="24"/>
        </w:rPr>
        <w:t>−</w:t>
      </w:r>
      <w:r w:rsidRPr="00F023A4">
        <w:rPr>
          <w:rFonts w:ascii="宋体" w:eastAsia="宋体" w:hAnsi="宋体"/>
          <w:sz w:val="24"/>
          <w:szCs w:val="24"/>
        </w:rPr>
        <w:t>(ED1+ED2)|,</w:t>
      </w:r>
      <w:r w:rsidRPr="00F023A4">
        <w:rPr>
          <w:rFonts w:ascii="宋体" w:eastAsia="宋体" w:hAnsi="宋体" w:cs="宋体" w:hint="eastAsia"/>
          <w:sz w:val="24"/>
          <w:szCs w:val="24"/>
        </w:rPr>
        <w:t>…</w:t>
      </w:r>
      <w:r w:rsidRPr="00F023A4">
        <w:rPr>
          <w:rFonts w:ascii="宋体" w:eastAsia="宋体" w:hAnsi="宋体"/>
          <w:sz w:val="24"/>
          <w:szCs w:val="24"/>
        </w:rPr>
        <w:t>,|(AD1+AD2+</w:t>
      </w:r>
      <w:r w:rsidRPr="00F023A4">
        <w:rPr>
          <w:rFonts w:ascii="宋体" w:eastAsia="宋体" w:hAnsi="宋体" w:cs="宋体" w:hint="eastAsia"/>
          <w:sz w:val="24"/>
          <w:szCs w:val="24"/>
        </w:rPr>
        <w:t>…</w:t>
      </w:r>
      <w:r w:rsidRPr="00F023A4">
        <w:rPr>
          <w:rFonts w:ascii="宋体" w:eastAsia="宋体" w:hAnsi="宋体"/>
          <w:sz w:val="24"/>
          <w:szCs w:val="24"/>
        </w:rPr>
        <w:t>+AD9)</w:t>
      </w:r>
      <w:r w:rsidRPr="00F023A4">
        <w:rPr>
          <w:rFonts w:ascii="MS Mincho" w:eastAsia="MS Mincho" w:hAnsi="MS Mincho" w:cs="MS Mincho" w:hint="eastAsia"/>
          <w:sz w:val="24"/>
          <w:szCs w:val="24"/>
        </w:rPr>
        <w:t>−</w:t>
      </w:r>
      <w:r w:rsidRPr="00F023A4">
        <w:rPr>
          <w:rFonts w:ascii="宋体" w:eastAsia="宋体" w:hAnsi="宋体"/>
          <w:sz w:val="24"/>
          <w:szCs w:val="24"/>
        </w:rPr>
        <w:t>(ED1+ED2+</w:t>
      </w:r>
      <w:r w:rsidRPr="00F023A4">
        <w:rPr>
          <w:rFonts w:ascii="宋体" w:eastAsia="宋体" w:hAnsi="宋体" w:cs="宋体" w:hint="eastAsia"/>
          <w:sz w:val="24"/>
          <w:szCs w:val="24"/>
        </w:rPr>
        <w:t>…</w:t>
      </w:r>
      <w:r w:rsidRPr="00F023A4">
        <w:rPr>
          <w:rFonts w:ascii="宋体" w:eastAsia="宋体" w:hAnsi="宋体"/>
          <w:sz w:val="24"/>
          <w:szCs w:val="24"/>
        </w:rPr>
        <w:t>+ED9)|)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023A4">
        <w:rPr>
          <w:rFonts w:ascii="宋体" w:eastAsia="宋体" w:hAnsi="宋体" w:hint="eastAsia"/>
          <w:sz w:val="24"/>
          <w:szCs w:val="24"/>
        </w:rPr>
        <w:t>其中AD是统计数据的真实分布，ED为该数字</w:t>
      </w:r>
      <w:proofErr w:type="gramStart"/>
      <w:r w:rsidRPr="00F023A4">
        <w:rPr>
          <w:rFonts w:ascii="宋体" w:eastAsia="宋体" w:hAnsi="宋体" w:hint="eastAsia"/>
          <w:sz w:val="24"/>
          <w:szCs w:val="24"/>
        </w:rPr>
        <w:t>在本福特定</w:t>
      </w:r>
      <w:proofErr w:type="gramEnd"/>
      <w:r w:rsidRPr="00F023A4">
        <w:rPr>
          <w:rFonts w:ascii="宋体" w:eastAsia="宋体" w:hAnsi="宋体" w:hint="eastAsia"/>
          <w:sz w:val="24"/>
          <w:szCs w:val="24"/>
        </w:rPr>
        <w:t>律中的期望概率。可以利用KS来检验该分布</w:t>
      </w:r>
      <w:proofErr w:type="gramStart"/>
      <w:r w:rsidRPr="00F023A4">
        <w:rPr>
          <w:rFonts w:ascii="宋体" w:eastAsia="宋体" w:hAnsi="宋体" w:hint="eastAsia"/>
          <w:sz w:val="24"/>
          <w:szCs w:val="24"/>
        </w:rPr>
        <w:t>适合本福特定</w:t>
      </w:r>
      <w:proofErr w:type="gramEnd"/>
      <w:r w:rsidRPr="00F023A4">
        <w:rPr>
          <w:rFonts w:ascii="宋体" w:eastAsia="宋体" w:hAnsi="宋体" w:hint="eastAsia"/>
          <w:sz w:val="24"/>
          <w:szCs w:val="24"/>
        </w:rPr>
        <w:t>律，在5%的水平下，检验值为 1.36/</w:t>
      </w:r>
      <w:proofErr w:type="spellStart"/>
      <w:r w:rsidRPr="00F023A4">
        <w:rPr>
          <w:rFonts w:ascii="宋体" w:eastAsia="宋体" w:hAnsi="宋体" w:hint="eastAsia"/>
          <w:sz w:val="24"/>
          <w:szCs w:val="24"/>
        </w:rPr>
        <w:t>srqt</w:t>
      </w:r>
      <w:proofErr w:type="spellEnd"/>
      <w:r>
        <w:rPr>
          <w:rFonts w:ascii="宋体" w:eastAsia="宋体" w:hAnsi="宋体" w:hint="eastAsia"/>
          <w:sz w:val="24"/>
          <w:szCs w:val="24"/>
        </w:rPr>
        <w:t>(N)</w:t>
      </w:r>
      <w:r w:rsidRPr="00F023A4">
        <w:rPr>
          <w:rFonts w:ascii="宋体" w:eastAsia="宋体" w:hAnsi="宋体" w:hint="eastAsia"/>
          <w:sz w:val="24"/>
          <w:szCs w:val="24"/>
        </w:rPr>
        <w:t>,其中</w:t>
      </w:r>
      <w:r>
        <w:rPr>
          <w:rFonts w:ascii="宋体" w:eastAsia="宋体" w:hAnsi="宋体" w:hint="eastAsia"/>
          <w:sz w:val="24"/>
          <w:szCs w:val="24"/>
        </w:rPr>
        <w:t>N</w:t>
      </w:r>
      <w:r w:rsidRPr="00F023A4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该样本中的财务指标数量</w:t>
      </w:r>
      <w:r w:rsidRPr="00F023A4">
        <w:rPr>
          <w:rFonts w:ascii="宋体" w:eastAsia="宋体" w:hAnsi="宋体" w:hint="eastAsia"/>
          <w:sz w:val="24"/>
          <w:szCs w:val="24"/>
        </w:rPr>
        <w:t>。如果该样本的KS值小于该检验值，可以认为</w:t>
      </w:r>
      <w:proofErr w:type="gramStart"/>
      <w:r w:rsidRPr="00F023A4">
        <w:rPr>
          <w:rFonts w:ascii="宋体" w:eastAsia="宋体" w:hAnsi="宋体" w:hint="eastAsia"/>
          <w:sz w:val="24"/>
          <w:szCs w:val="24"/>
        </w:rPr>
        <w:t>符合本福特定</w:t>
      </w:r>
      <w:proofErr w:type="gramEnd"/>
      <w:r w:rsidRPr="00F023A4">
        <w:rPr>
          <w:rFonts w:ascii="宋体" w:eastAsia="宋体" w:hAnsi="宋体" w:hint="eastAsia"/>
          <w:sz w:val="24"/>
          <w:szCs w:val="24"/>
        </w:rPr>
        <w:t>律。</w:t>
      </w:r>
      <w:r>
        <w:rPr>
          <w:rFonts w:ascii="宋体" w:eastAsia="宋体" w:hAnsi="宋体" w:hint="eastAsia"/>
          <w:sz w:val="24"/>
          <w:szCs w:val="24"/>
        </w:rPr>
        <w:t>对于造假公司，</w:t>
      </w:r>
      <w:proofErr w:type="gramStart"/>
      <w:r>
        <w:rPr>
          <w:rFonts w:ascii="宋体" w:eastAsia="宋体" w:hAnsi="宋体" w:hint="eastAsia"/>
          <w:sz w:val="24"/>
          <w:szCs w:val="24"/>
        </w:rPr>
        <w:t>满足本福特定</w:t>
      </w:r>
      <w:proofErr w:type="gramEnd"/>
      <w:r>
        <w:rPr>
          <w:rFonts w:ascii="宋体" w:eastAsia="宋体" w:hAnsi="宋体" w:hint="eastAsia"/>
          <w:sz w:val="24"/>
          <w:szCs w:val="24"/>
        </w:rPr>
        <w:t>律的公司占所有公司的96.67%，而对于未造假公司，不</w:t>
      </w:r>
      <w:proofErr w:type="gramStart"/>
      <w:r>
        <w:rPr>
          <w:rFonts w:ascii="宋体" w:eastAsia="宋体" w:hAnsi="宋体" w:hint="eastAsia"/>
          <w:sz w:val="24"/>
          <w:szCs w:val="24"/>
        </w:rPr>
        <w:t>满足本福特定</w:t>
      </w:r>
      <w:proofErr w:type="gramEnd"/>
      <w:r>
        <w:rPr>
          <w:rFonts w:ascii="宋体" w:eastAsia="宋体" w:hAnsi="宋体" w:hint="eastAsia"/>
          <w:sz w:val="24"/>
          <w:szCs w:val="24"/>
        </w:rPr>
        <w:t>律的公司占所有公司的93.67%。因此利用</w:t>
      </w:r>
      <w:proofErr w:type="gramStart"/>
      <w:r>
        <w:rPr>
          <w:rFonts w:ascii="宋体" w:eastAsia="宋体" w:hAnsi="宋体" w:hint="eastAsia"/>
          <w:sz w:val="24"/>
          <w:szCs w:val="24"/>
        </w:rPr>
        <w:t>本福特定律判断</w:t>
      </w:r>
      <w:proofErr w:type="gramEnd"/>
      <w:r>
        <w:rPr>
          <w:rFonts w:ascii="宋体" w:eastAsia="宋体" w:hAnsi="宋体" w:hint="eastAsia"/>
          <w:sz w:val="24"/>
          <w:szCs w:val="24"/>
        </w:rPr>
        <w:t>上市公司财务造假情况可能会造成一些偏差。</w:t>
      </w:r>
    </w:p>
    <w:p w:rsidR="007B0869" w:rsidRDefault="007B0869" w:rsidP="007B0869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接下来根据2016年财务报表</w:t>
      </w:r>
      <w:proofErr w:type="gramStart"/>
      <w:r>
        <w:rPr>
          <w:rFonts w:ascii="宋体" w:eastAsia="宋体" w:hAnsi="宋体" w:hint="eastAsia"/>
          <w:sz w:val="24"/>
          <w:szCs w:val="24"/>
        </w:rPr>
        <w:t>偏离本福特定</w:t>
      </w:r>
      <w:proofErr w:type="gramEnd"/>
      <w:r>
        <w:rPr>
          <w:rFonts w:ascii="宋体" w:eastAsia="宋体" w:hAnsi="宋体" w:hint="eastAsia"/>
          <w:sz w:val="24"/>
          <w:szCs w:val="24"/>
        </w:rPr>
        <w:t>律的程度，将所有的上市公司排序，然后将偏离度最小的200家公司作为最不可能造假的公司，将偏离度最大的200家公司作为最可能造假的公司，</w:t>
      </w:r>
      <w:proofErr w:type="gramStart"/>
      <w:r>
        <w:rPr>
          <w:rFonts w:ascii="宋体" w:eastAsia="宋体" w:hAnsi="宋体" w:hint="eastAsia"/>
          <w:sz w:val="24"/>
          <w:szCs w:val="24"/>
        </w:rPr>
        <w:t>回测其</w:t>
      </w:r>
      <w:proofErr w:type="gramEnd"/>
      <w:r>
        <w:rPr>
          <w:rFonts w:ascii="宋体" w:eastAsia="宋体" w:hAnsi="宋体" w:hint="eastAsia"/>
          <w:sz w:val="24"/>
          <w:szCs w:val="24"/>
        </w:rPr>
        <w:t>2017年度股票收益，结果如图8所示。可以看到，最可能造假的公司组合和最不可能造假的公司组合的</w:t>
      </w:r>
      <w:proofErr w:type="gramStart"/>
      <w:r>
        <w:rPr>
          <w:rFonts w:ascii="宋体" w:eastAsia="宋体" w:hAnsi="宋体" w:hint="eastAsia"/>
          <w:sz w:val="24"/>
          <w:szCs w:val="24"/>
        </w:rPr>
        <w:t>回测收益</w:t>
      </w:r>
      <w:proofErr w:type="gramEnd"/>
      <w:r>
        <w:rPr>
          <w:rFonts w:ascii="宋体" w:eastAsia="宋体" w:hAnsi="宋体" w:hint="eastAsia"/>
          <w:sz w:val="24"/>
          <w:szCs w:val="24"/>
        </w:rPr>
        <w:t>都很差，而且最可能造假公司组合的收益要高于最不可能造假的公司组合。和前几种方法相比，</w:t>
      </w:r>
      <w:proofErr w:type="gramStart"/>
      <w:r>
        <w:rPr>
          <w:rFonts w:ascii="宋体" w:eastAsia="宋体" w:hAnsi="宋体" w:hint="eastAsia"/>
          <w:sz w:val="24"/>
          <w:szCs w:val="24"/>
        </w:rPr>
        <w:t>本福特定</w:t>
      </w:r>
      <w:proofErr w:type="gramEnd"/>
      <w:r>
        <w:rPr>
          <w:rFonts w:ascii="宋体" w:eastAsia="宋体" w:hAnsi="宋体" w:hint="eastAsia"/>
          <w:sz w:val="24"/>
          <w:szCs w:val="24"/>
        </w:rPr>
        <w:t>律的效果明显差很多，说明此方法不一定适用于此类问题。</w:t>
      </w:r>
    </w:p>
    <w:p w:rsidR="007B0869" w:rsidRDefault="007B0869" w:rsidP="007B0869">
      <w:pPr>
        <w:ind w:left="840" w:firstLine="42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E9ECC" wp14:editId="255EDD57">
                <wp:simplePos x="0" y="0"/>
                <wp:positionH relativeFrom="column">
                  <wp:posOffset>489585</wp:posOffset>
                </wp:positionH>
                <wp:positionV relativeFrom="paragraph">
                  <wp:posOffset>3605530</wp:posOffset>
                </wp:positionV>
                <wp:extent cx="4295775" cy="238125"/>
                <wp:effectExtent l="0" t="0" r="952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0869" w:rsidRPr="00F516C6" w:rsidRDefault="007B0869" w:rsidP="007B0869">
                            <w:pPr>
                              <w:pStyle w:val="a5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>图</w:t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8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</w:rPr>
                              <w:t>本福特定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</w:rPr>
                              <w:t>律模型</w:t>
                            </w:r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>不同</w:t>
                            </w:r>
                            <w:proofErr w:type="gramStart"/>
                            <w:r w:rsidRPr="00F516C6">
                              <w:rPr>
                                <w:rFonts w:hint="eastAsia"/>
                                <w:sz w:val="24"/>
                              </w:rPr>
                              <w:t>组合回测结果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3" type="#_x0000_t202" style="position:absolute;left:0;text-align:left;margin-left:38.55pt;margin-top:283.9pt;width:338.2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" stroked="f">
                <v:textbox inset="0,0,0,0">
                  <w:txbxContent>
                    <w:p w:rsidR="007B0869" w:rsidRPr="00F516C6" w:rsidRDefault="007B0869" w:rsidP="007B0869">
                      <w:pPr>
                        <w:pStyle w:val="a5"/>
                        <w:jc w:val="center"/>
                        <w:rPr>
                          <w:noProof/>
                          <w:sz w:val="24"/>
                        </w:rPr>
                      </w:pPr>
                      <w:r w:rsidRPr="00F516C6">
                        <w:rPr>
                          <w:rFonts w:hint="eastAsia"/>
                          <w:sz w:val="24"/>
                        </w:rPr>
                        <w:t>图</w:t>
                      </w:r>
                      <w:r w:rsidRPr="00F516C6"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8 </w:t>
                      </w:r>
                      <w:proofErr w:type="gramStart"/>
                      <w:r>
                        <w:rPr>
                          <w:rFonts w:hint="eastAsia"/>
                          <w:sz w:val="24"/>
                        </w:rPr>
                        <w:t>本福特定</w:t>
                      </w:r>
                      <w:proofErr w:type="gramEnd"/>
                      <w:r>
                        <w:rPr>
                          <w:rFonts w:hint="eastAsia"/>
                          <w:sz w:val="24"/>
                        </w:rPr>
                        <w:t>律模型</w:t>
                      </w:r>
                      <w:r w:rsidRPr="00F516C6">
                        <w:rPr>
                          <w:rFonts w:hint="eastAsia"/>
                          <w:sz w:val="24"/>
                        </w:rPr>
                        <w:t>不同</w:t>
                      </w:r>
                      <w:proofErr w:type="gramStart"/>
                      <w:r w:rsidRPr="00F516C6">
                        <w:rPr>
                          <w:rFonts w:hint="eastAsia"/>
                          <w:sz w:val="24"/>
                        </w:rPr>
                        <w:t>组合回测结果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35E154B" wp14:editId="0B63AB0D">
            <wp:simplePos x="0" y="0"/>
            <wp:positionH relativeFrom="column">
              <wp:posOffset>-647700</wp:posOffset>
            </wp:positionH>
            <wp:positionV relativeFrom="paragraph">
              <wp:posOffset>95250</wp:posOffset>
            </wp:positionV>
            <wp:extent cx="6680200" cy="3373755"/>
            <wp:effectExtent l="0" t="0" r="635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869" w:rsidRPr="0024205D" w:rsidRDefault="007B0869" w:rsidP="007B0869">
      <w:pPr>
        <w:ind w:left="840" w:firstLine="420"/>
        <w:rPr>
          <w:rFonts w:ascii="宋体" w:eastAsia="宋体" w:hAnsi="宋体"/>
          <w:sz w:val="24"/>
          <w:szCs w:val="24"/>
        </w:rPr>
      </w:pPr>
    </w:p>
    <w:p w:rsidR="002F31B0" w:rsidRPr="007B0869" w:rsidRDefault="002F31B0"/>
    <w:sectPr w:rsidR="002F31B0" w:rsidRPr="007B0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7CD0"/>
    <w:multiLevelType w:val="hybridMultilevel"/>
    <w:tmpl w:val="3CF85BE0"/>
    <w:lvl w:ilvl="0" w:tplc="99A86B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DC31524"/>
    <w:multiLevelType w:val="hybridMultilevel"/>
    <w:tmpl w:val="E8A6D800"/>
    <w:lvl w:ilvl="0" w:tplc="5DE4863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8C5C46"/>
    <w:multiLevelType w:val="hybridMultilevel"/>
    <w:tmpl w:val="311EC4D0"/>
    <w:lvl w:ilvl="0" w:tplc="7E4CA98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69"/>
    <w:rsid w:val="002F31B0"/>
    <w:rsid w:val="007B0869"/>
    <w:rsid w:val="008D41BC"/>
    <w:rsid w:val="00DB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08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086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B0869"/>
    <w:pPr>
      <w:ind w:firstLineChars="200" w:firstLine="420"/>
    </w:pPr>
  </w:style>
  <w:style w:type="table" w:styleId="-1">
    <w:name w:val="Light List Accent 1"/>
    <w:basedOn w:val="a1"/>
    <w:uiPriority w:val="61"/>
    <w:rsid w:val="007B08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7B0869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08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086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B0869"/>
    <w:pPr>
      <w:ind w:firstLineChars="200" w:firstLine="420"/>
    </w:pPr>
  </w:style>
  <w:style w:type="table" w:styleId="-1">
    <w:name w:val="Light List Accent 1"/>
    <w:basedOn w:val="a1"/>
    <w:uiPriority w:val="61"/>
    <w:rsid w:val="007B08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7B086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DFC51-A3B2-4AFE-BEC4-01FCEE529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1</cp:revision>
  <dcterms:created xsi:type="dcterms:W3CDTF">2018-08-13T08:33:00Z</dcterms:created>
  <dcterms:modified xsi:type="dcterms:W3CDTF">2018-08-13T08:33:00Z</dcterms:modified>
</cp:coreProperties>
</file>