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72"/>
          <w:szCs w:val="72"/>
        </w:rPr>
      </w:pPr>
      <w:r w:rsidDel="00000000" w:rsidR="00000000" w:rsidRPr="00000000">
        <w:rPr>
          <w:rFonts w:ascii="Times" w:cs="Times" w:eastAsia="Times" w:hAnsi="Times"/>
          <w:sz w:val="60"/>
          <w:szCs w:val="60"/>
          <w:rtl w:val="0"/>
        </w:rPr>
        <w:t xml:space="preserve">CHARLOTTE HULL, </w:t>
      </w: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B.A.</w:t>
      </w:r>
      <w:r w:rsidDel="00000000" w:rsidR="00000000" w:rsidRPr="00000000">
        <w:rPr>
          <w:rFonts w:ascii="Times" w:cs="Times" w:eastAsia="Times" w:hAnsi="Times"/>
          <w:sz w:val="72"/>
          <w:szCs w:val="72"/>
          <w:rtl w:val="0"/>
        </w:rPr>
        <w:t xml:space="preserve">           </w:t>
      </w:r>
      <w:r w:rsidDel="00000000" w:rsidR="00000000" w:rsidRPr="00000000">
        <w:rPr>
          <w:rFonts w:ascii="Times" w:cs="Times" w:eastAsia="Times" w:hAnsi="Times"/>
          <w:sz w:val="40"/>
          <w:szCs w:val="40"/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riya MN" w:cs="Oriya MN" w:eastAsia="Oriya MN" w:hAnsi="Oriya MN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719-551-0481    |     </w:t>
      </w:r>
      <w:hyperlink r:id="rId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char.l.hull1@gmail.com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    |      Texas       |       </w:t>
      </w:r>
      <w:hyperlink r:id="rId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 Light" w:cs="Open Sans Light" w:eastAsia="Open Sans Light" w:hAnsi="Open Sans Light"/>
          <w:color w:val="262626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 Light" w:cs="Open Sans Light" w:eastAsia="Open Sans Light" w:hAnsi="Open Sans Light"/>
          <w:color w:val="262626"/>
          <w:sz w:val="20"/>
          <w:szCs w:val="20"/>
        </w:rPr>
      </w:pPr>
      <w:r w:rsidDel="00000000" w:rsidR="00000000" w:rsidRPr="00000000">
        <w:rPr>
          <w:rFonts w:ascii="Open Sans Light" w:cs="Open Sans Light" w:eastAsia="Open Sans Light" w:hAnsi="Open Sans Light"/>
          <w:color w:val="262626"/>
          <w:sz w:val="20"/>
          <w:szCs w:val="20"/>
          <w:rtl w:val="0"/>
        </w:rPr>
        <w:t xml:space="preserve">Results-driven Data Analyst adept at managing projects with a keen eye for detail and a focus on task completion. Proven project management expertise, adeptly navigating various stakeholders' demands while optimizing data streamlining and management processes. Recognized for innovative problem-solving abilities and delivering insightful reporting, driving successful project outcomes. </w:t>
      </w:r>
    </w:p>
    <w:p w:rsidR="00000000" w:rsidDel="00000000" w:rsidP="00000000" w:rsidRDefault="00000000" w:rsidRPr="00000000" w14:paraId="0000000A">
      <w:pPr>
        <w:rPr>
          <w:rFonts w:ascii="Open Sans Light" w:cs="Open Sans Light" w:eastAsia="Open Sans Light" w:hAnsi="Open Sans Light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Key Skills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 Light" w:cs="Open Sans Light" w:eastAsia="Open Sans Light" w:hAnsi="Open Sans Light"/>
          <w:color w:val="262626"/>
          <w:sz w:val="2"/>
          <w:szCs w:val="2"/>
        </w:rPr>
        <w:sectPr>
          <w:pgSz w:h="15840" w:w="12240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Data Visualization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Problem-Solving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MySQL / Snowflake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Analytics / Data Mining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Google Looker / Salesforce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Tableau / Adobe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Decision-Making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Project Management 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08" w:footer="708"/>
          <w:cols w:equalWidth="0" w:num="3">
            <w:col w:space="708" w:w="3128"/>
            <w:col w:space="708" w:w="3128"/>
            <w:col w:space="0" w:w="3128"/>
          </w:cols>
        </w:sect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Microsoft Excel / Google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" w:cs="Times" w:eastAsia="Times" w:hAnsi="Time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283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etween w:color="cfe2f3" w:space="2" w:sz="8" w:val="single"/>
        </w:pBdr>
        <w:shd w:fill="cfe2f3" w:val="clear"/>
        <w:ind w:right="283"/>
        <w:rPr>
          <w:rFonts w:ascii="Open Sans Light" w:cs="Open Sans Light" w:eastAsia="Open Sans Light" w:hAnsi="Open Sans Light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Vacasa</w:t>
      </w:r>
      <w:r w:rsidDel="00000000" w:rsidR="00000000" w:rsidRPr="00000000">
        <w:rPr>
          <w:rFonts w:ascii="Open Sans Light" w:cs="Open Sans Light" w:eastAsia="Open Sans Light" w:hAnsi="Open Sans Light"/>
          <w:sz w:val="20"/>
          <w:szCs w:val="20"/>
          <w:rtl w:val="0"/>
        </w:rPr>
        <w:t xml:space="preserve">, Remote (TX) | February 2022 – Present</w:t>
      </w:r>
    </w:p>
    <w:p w:rsidR="00000000" w:rsidDel="00000000" w:rsidP="00000000" w:rsidRDefault="00000000" w:rsidRPr="00000000" w14:paraId="0000001E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Integration Data Analyst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Spearheaded data analysis and interpretation techniques, driving company profitability by meticulously dissecting reservation finances. Calculated advance deposits, providing invaluable insights for the revenue and finance/accounting department to optimize financial strategies.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Demonstrated expertise in data extraction and reporting, employing advanced data mining methods to generate reservation and financial reports. Facilitated informed decision-making for multiple stakeholders amidst tight deadlines and ad-hoc tasks.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Engineered the compilation, cleansing, and management of reservation/financial data, ensuring seamless guest and homeowner experiences. Streamlined data integration into the company's internal system, empowering various departments to efficiently manage reservations.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Utilized historical financial data analysis to bolster decision-making processes for the Revenue Rates team, enabling strategic adjustments to maximize revenue opportunities.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Championed 18 strategic acquisitions/transitions, seamlessly integrating over 9,800 inorganic reservations into our system.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Orchestrated acquisitions/transitions yielding a remarkable influx of over 52,000 organic reservations and driving net revenue to surpass $32.1 million.</w:t>
      </w:r>
    </w:p>
    <w:p w:rsidR="00000000" w:rsidDel="00000000" w:rsidP="00000000" w:rsidRDefault="00000000" w:rsidRPr="00000000" w14:paraId="00000025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color="cfe2f3" w:space="2" w:sz="8" w:val="single"/>
        </w:pBdr>
        <w:shd w:fill="cfe2f3" w:val="clear"/>
        <w:spacing w:after="0" w:before="0" w:line="240" w:lineRule="auto"/>
        <w:ind w:left="0" w:right="283" w:firstLine="0"/>
        <w:jc w:val="left"/>
        <w:rPr>
          <w:rFonts w:ascii="Open Sans Light" w:cs="Open Sans Light" w:eastAsia="Open Sans Light" w:hAnsi="Open Sans Light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Vacasa</w:t>
      </w:r>
      <w:r w:rsidDel="00000000" w:rsidR="00000000" w:rsidRPr="00000000">
        <w:rPr>
          <w:rFonts w:ascii="Open Sans Light" w:cs="Open Sans Light" w:eastAsia="Open Sans Light" w:hAnsi="Open Sans Light"/>
          <w:sz w:val="20"/>
          <w:szCs w:val="20"/>
          <w:rtl w:val="0"/>
        </w:rPr>
        <w:t xml:space="preserve">, Remote (TX) | June 2021 – February 2022</w:t>
      </w:r>
    </w:p>
    <w:p w:rsidR="00000000" w:rsidDel="00000000" w:rsidP="00000000" w:rsidRDefault="00000000" w:rsidRPr="00000000" w14:paraId="00000027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Administrative Specialist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Streamlined daily finance reports processing and reservation payment collection, ensuring accurate financial reporting and elevating guest satisfaction.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Demonstrated decisive judgment in efficiently executing all financial and administrative responsibilities with meticulous attention to detail.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Leveraged advanced spreadsheet skills to meticulously execute tasks, upholding a standard of precision and organizational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283" w:firstLine="0"/>
        <w:jc w:val="right"/>
        <w:rPr>
          <w:rFonts w:ascii="Open Sans Light" w:cs="Open Sans Light" w:eastAsia="Open Sans Light" w:hAnsi="Open Sans Light"/>
          <w:i w:val="1"/>
          <w:sz w:val="20"/>
          <w:szCs w:val="20"/>
        </w:rPr>
      </w:pPr>
      <w:r w:rsidDel="00000000" w:rsidR="00000000" w:rsidRPr="00000000">
        <w:rPr>
          <w:rFonts w:ascii="Open Sans Light" w:cs="Open Sans Light" w:eastAsia="Open Sans Light" w:hAnsi="Open Sans Light"/>
          <w:i w:val="1"/>
          <w:sz w:val="20"/>
          <w:szCs w:val="20"/>
          <w:rtl w:val="0"/>
        </w:rPr>
        <w:t xml:space="preserve">Prior experience and responsibilities available on my </w:t>
      </w:r>
      <w:hyperlink r:id="rId9">
        <w:r w:rsidDel="00000000" w:rsidR="00000000" w:rsidRPr="00000000">
          <w:rPr>
            <w:rFonts w:ascii="Open Sans Light" w:cs="Open Sans Light" w:eastAsia="Open Sans Light" w:hAnsi="Open Sans Light"/>
            <w:i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Open Sans Light" w:cs="Open Sans Light" w:eastAsia="Open Sans Light" w:hAnsi="Open Sans Light"/>
          <w:i w:val="1"/>
          <w:sz w:val="20"/>
          <w:szCs w:val="20"/>
          <w:rtl w:val="0"/>
        </w:rPr>
        <w:t xml:space="preserve"> and by request</w:t>
      </w:r>
    </w:p>
    <w:p w:rsidR="00000000" w:rsidDel="00000000" w:rsidP="00000000" w:rsidRDefault="00000000" w:rsidRPr="00000000" w14:paraId="0000002C">
      <w:pPr>
        <w:rPr>
          <w:rFonts w:ascii="Open Sans Light" w:cs="Open Sans Light" w:eastAsia="Open Sans Light" w:hAnsi="Open Sans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 Light" w:cs="Open Sans Light" w:eastAsia="Open Sans Light" w:hAnsi="Open Sans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 Light" w:cs="Open Sans Light" w:eastAsia="Open Sans Light" w:hAnsi="Open Sans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inhala MN" w:cs="Sinhala MN" w:eastAsia="Sinhala MN" w:hAnsi="Sinhala M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Bachelor of Arts in Legal Studies | Chadron State College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0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Google IT Support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hyperlink r:id="rId1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Foundations of Business Intelligence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Google Data Analytics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  <w:tab/>
        <w:tab/>
        <w:tab/>
      </w:r>
    </w:p>
    <w:p w:rsidR="00000000" w:rsidDel="00000000" w:rsidP="00000000" w:rsidRDefault="00000000" w:rsidRPr="00000000" w14:paraId="00000037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Crash Course on Python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  <w:tab/>
      </w:r>
    </w:p>
    <w:p w:rsidR="00000000" w:rsidDel="00000000" w:rsidP="00000000" w:rsidRDefault="00000000" w:rsidRPr="00000000" w14:paraId="00000038">
      <w:pPr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Professional Link/Social Media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https://hullchar.github.io/CharlotteHullAnalyst.github.io/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ab/>
        <w:tab/>
        <w:tab/>
        <w:t xml:space="preserve">|</w:t>
        <w:tab/>
        <w:t xml:space="preserve">Website </w:t>
      </w:r>
    </w:p>
    <w:p w:rsidR="00000000" w:rsidDel="00000000" w:rsidP="00000000" w:rsidRDefault="00000000" w:rsidRPr="00000000" w14:paraId="0000003D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https://www.linkedin.com/in/charhull/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ab/>
        <w:tab/>
        <w:tab/>
        <w:tab/>
        <w:tab/>
        <w:tab/>
        <w:t xml:space="preserve">|</w:t>
        <w:tab/>
        <w:t xml:space="preserve">Linkedin</w:t>
      </w:r>
    </w:p>
    <w:p w:rsidR="00000000" w:rsidDel="00000000" w:rsidP="00000000" w:rsidRDefault="00000000" w:rsidRPr="00000000" w14:paraId="0000003E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https://www.credly.com/users/charlotte-hull.79f5da1c/badges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ab/>
        <w:tab/>
        <w:t xml:space="preserve">|</w:t>
        <w:tab/>
        <w:t xml:space="preserve">Credly Badges</w:t>
      </w:r>
    </w:p>
    <w:p w:rsidR="00000000" w:rsidDel="00000000" w:rsidP="00000000" w:rsidRDefault="00000000" w:rsidRPr="00000000" w14:paraId="0000003F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https://www.coursera.org/user/0020634ad72713977c1cb68688cd3fc8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</w:t>
        <w:tab/>
        <w:t xml:space="preserve">| </w:t>
        <w:tab/>
        <w:t xml:space="preserve">Coursera Accomplishments</w:t>
      </w:r>
    </w:p>
    <w:p w:rsidR="00000000" w:rsidDel="00000000" w:rsidP="00000000" w:rsidRDefault="00000000" w:rsidRPr="00000000" w14:paraId="00000040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https://public.tableau.com/app/profile/charlotte.hull7586/vizzes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             </w:t>
        <w:tab/>
        <w:t xml:space="preserve">|</w:t>
        <w:tab/>
        <w:t xml:space="preserve">Tableau</w:t>
      </w:r>
    </w:p>
    <w:sectPr>
      <w:type w:val="continuous"/>
      <w:pgSz w:h="15840" w:w="12240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inhala MN"/>
  <w:font w:name="Oriya M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account/accomplishments/certificate/C8LYU77SY88R" TargetMode="External"/><Relationship Id="rId10" Type="http://schemas.openxmlformats.org/officeDocument/2006/relationships/hyperlink" Target="https://www.coursera.org/account/accomplishments/specialization/certificate/VSE8DYJZEF8W" TargetMode="External"/><Relationship Id="rId13" Type="http://schemas.openxmlformats.org/officeDocument/2006/relationships/hyperlink" Target="https://www.coursera.org/account/accomplishments/certificate/ECWJAAN9XTAJ" TargetMode="External"/><Relationship Id="rId12" Type="http://schemas.openxmlformats.org/officeDocument/2006/relationships/hyperlink" Target="https://www.coursera.org/account/accomplishments/specialization/certificate/59YRPDRGF3P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harhull/" TargetMode="External"/><Relationship Id="rId15" Type="http://schemas.openxmlformats.org/officeDocument/2006/relationships/hyperlink" Target="https://www.linkedin.com/in/charhull/" TargetMode="External"/><Relationship Id="rId14" Type="http://schemas.openxmlformats.org/officeDocument/2006/relationships/hyperlink" Target="https://hullchar.github.io/CharlotteHullAnalyst.github.io/" TargetMode="External"/><Relationship Id="rId17" Type="http://schemas.openxmlformats.org/officeDocument/2006/relationships/hyperlink" Target="https://www.coursera.org/user/0020634ad72713977c1cb68688cd3fc8" TargetMode="External"/><Relationship Id="rId16" Type="http://schemas.openxmlformats.org/officeDocument/2006/relationships/hyperlink" Target="https://www.credly.com/users/charlotte-hull.79f5da1c/badg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ublic.tableau.com/app/profile/charlotte.hull7586/vizzes" TargetMode="External"/><Relationship Id="rId7" Type="http://schemas.openxmlformats.org/officeDocument/2006/relationships/hyperlink" Target="mailto:char.l.hull1@gmail.com" TargetMode="External"/><Relationship Id="rId8" Type="http://schemas.openxmlformats.org/officeDocument/2006/relationships/hyperlink" Target="https://www.linkedin.com/in/charhu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xI2PzeOJ2xOHT7HjTMw4/O0bA==">CgMxLjA4AHIhMW8yRlBiYTU2ZkRfOTN0aXlwczFjNm9Jc0lRVXRycEVz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