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0F1F3">
      <w:pPr>
        <w:pStyle w:val="15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申论</w:t>
      </w:r>
    </w:p>
    <w:p w14:paraId="501835AD">
      <w:pPr>
        <w:pStyle w:val="32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概览</w:t>
      </w:r>
    </w:p>
    <w:p w14:paraId="4BD01745">
      <w:pPr>
        <w:pStyle w:val="32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考试大纲（县乡综合版本）</w:t>
      </w:r>
    </w:p>
    <w:p w14:paraId="1DA3E5E7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主要测查报考者的阅读理解能力、贯彻执行能力、解决问题能力和文字表达能力。</w:t>
      </w:r>
    </w:p>
    <w:p w14:paraId="33B7A2C4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b/>
          <w:sz w:val="24"/>
          <w:szCs w:val="28"/>
        </w:rPr>
        <w:t>阅读理解能力</w:t>
      </w:r>
      <w:r>
        <w:rPr>
          <w:rFonts w:hint="eastAsia"/>
          <w:sz w:val="24"/>
          <w:szCs w:val="28"/>
        </w:rPr>
        <w:t>：能够理解给定资料的</w:t>
      </w:r>
      <w:r>
        <w:rPr>
          <w:rFonts w:hint="eastAsia"/>
          <w:sz w:val="24"/>
          <w:szCs w:val="28"/>
          <w:u w:val="single"/>
        </w:rPr>
        <w:t>主要内容</w:t>
      </w:r>
      <w:r>
        <w:rPr>
          <w:rFonts w:hint="eastAsia"/>
          <w:sz w:val="24"/>
          <w:szCs w:val="28"/>
        </w:rPr>
        <w:t>，把握给定资料</w:t>
      </w:r>
      <w:r>
        <w:rPr>
          <w:rFonts w:hint="eastAsia"/>
          <w:sz w:val="24"/>
          <w:szCs w:val="28"/>
          <w:u w:val="single"/>
        </w:rPr>
        <w:t>各部分之间的关系</w:t>
      </w:r>
      <w:r>
        <w:rPr>
          <w:rFonts w:hint="eastAsia"/>
          <w:sz w:val="24"/>
          <w:szCs w:val="28"/>
        </w:rPr>
        <w:t>，对给定资料所涉及的观点、事实作出恰当的解释。</w:t>
      </w:r>
    </w:p>
    <w:p w14:paraId="26EBF67F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b/>
          <w:sz w:val="24"/>
          <w:szCs w:val="28"/>
        </w:rPr>
        <w:t>贯彻执行能力</w:t>
      </w:r>
      <w:r>
        <w:rPr>
          <w:rFonts w:hint="eastAsia"/>
          <w:sz w:val="24"/>
          <w:szCs w:val="28"/>
        </w:rPr>
        <w:t>：能够</w:t>
      </w:r>
      <w:r>
        <w:rPr>
          <w:rFonts w:hint="eastAsia"/>
          <w:sz w:val="24"/>
          <w:szCs w:val="28"/>
          <w:u w:val="single"/>
        </w:rPr>
        <w:t>准确理解工作目标和组织意图</w:t>
      </w:r>
      <w:r>
        <w:rPr>
          <w:rFonts w:hint="eastAsia"/>
          <w:sz w:val="24"/>
          <w:szCs w:val="28"/>
        </w:rPr>
        <w:t>，遵循依法行政的原则，根据客观实际情况，及时有效地完成任务。</w:t>
      </w:r>
    </w:p>
    <w:p w14:paraId="455C2FF1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b/>
          <w:sz w:val="24"/>
          <w:szCs w:val="28"/>
        </w:rPr>
        <w:t>解决问题能力</w:t>
      </w:r>
      <w:r>
        <w:rPr>
          <w:rFonts w:hint="eastAsia"/>
          <w:sz w:val="24"/>
          <w:szCs w:val="28"/>
        </w:rPr>
        <w:t>：对给定资料所反映的问题进行分析，并提出解决的措施或办法。</w:t>
      </w:r>
    </w:p>
    <w:p w14:paraId="3BB1A5B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b/>
          <w:sz w:val="24"/>
          <w:szCs w:val="28"/>
        </w:rPr>
        <w:t>文字表达能力</w:t>
      </w:r>
      <w:r>
        <w:rPr>
          <w:rFonts w:hint="eastAsia"/>
          <w:sz w:val="24"/>
          <w:szCs w:val="28"/>
        </w:rPr>
        <w:t>：熟练使用指定的语种，对事件、观点进行准确合理的说明、陈述或阐释。</w:t>
      </w:r>
    </w:p>
    <w:p w14:paraId="2A9DE12A">
      <w:pPr>
        <w:pStyle w:val="32"/>
        <w:numPr>
          <w:ilvl w:val="0"/>
          <w:numId w:val="2"/>
        </w:numPr>
        <w:spacing w:before="156" w:beforeLines="50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1C9DA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78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归纳概括题，提出对策题，综合分析题，应用文写作题，大作文题</w:t>
      </w:r>
    </w:p>
    <w:p w14:paraId="487EF15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78" w:leftChars="0" w:hanging="357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8"/>
          <w:szCs w:val="32"/>
          <w:lang w:val="en-US" w:eastAsia="zh-CN" w:bidi="ar-SA"/>
          <w14:ligatures w14:val="standardContextual"/>
        </w:rPr>
      </w:pPr>
      <w:r>
        <w:rPr>
          <w:rFonts w:hint="eastAsia" w:cstheme="minorBidi"/>
          <w:kern w:val="2"/>
          <w:sz w:val="28"/>
          <w:szCs w:val="32"/>
          <w:lang w:val="en-US" w:eastAsia="zh-CN" w:bidi="ar-SA"/>
          <w14:ligatures w14:val="standardContextual"/>
        </w:rPr>
        <w:t>考后</w:t>
      </w:r>
      <w:r>
        <w:rPr>
          <w:rFonts w:hint="eastAsia" w:asciiTheme="minorHAnsi" w:hAnsiTheme="minorHAnsi" w:eastAsiaTheme="minorEastAsia" w:cstheme="minorBidi"/>
          <w:kern w:val="2"/>
          <w:sz w:val="28"/>
          <w:szCs w:val="32"/>
          <w:lang w:val="en-US" w:eastAsia="zh-CN" w:bidi="ar-SA"/>
          <w14:ligatures w14:val="standardContextual"/>
        </w:rPr>
        <w:t>感想</w:t>
      </w:r>
    </w:p>
    <w:p w14:paraId="269ED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firstLine="420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32"/>
          <w:lang w:val="en-US" w:eastAsia="zh-CN" w:bidi="ar-SA"/>
          <w14:ligatures w14:val="standardContextual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这些前前后后的总结都没错，但是解题策略不够详细，案例不够多。导致25年省考时，不清楚出题人问的是什么（是问对策还是归纳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）、想让我们回答什么，不清楚怎么将材料合理的转换为答案（材料太多，该用哪些？）</w:t>
      </w:r>
    </w:p>
    <w:p w14:paraId="640B0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firstLine="420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大作文一般会包含政治理论？（是选一个最符合的立意，还是转为最靠近的政治理论）</w:t>
      </w:r>
    </w:p>
    <w:p w14:paraId="60016E58">
      <w:pPr>
        <w:spacing w:after="0" w:line="360" w:lineRule="exact"/>
        <w:ind w:left="578"/>
        <w:rPr>
          <w:rFonts w:hint="eastAsia"/>
          <w:sz w:val="24"/>
          <w:szCs w:val="28"/>
        </w:rPr>
      </w:pPr>
    </w:p>
    <w:p w14:paraId="508C8FD6">
      <w:pPr>
        <w:pStyle w:val="32"/>
        <w:numPr>
          <w:ilvl w:val="0"/>
          <w:numId w:val="1"/>
        </w:numPr>
        <w:spacing w:before="156" w:beforeLines="5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归纳概括</w:t>
      </w:r>
    </w:p>
    <w:p w14:paraId="173C5E7F">
      <w:pPr>
        <w:pStyle w:val="32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</w:p>
    <w:p w14:paraId="37EBC6D4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根本目的是要让阅卷人轻松的知道你这个答案是全面，准确的，才好拿高分。</w:t>
      </w:r>
    </w:p>
    <w:p w14:paraId="2FDF2541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标记关键点：</w:t>
      </w:r>
      <w:r>
        <w:rPr>
          <w:rFonts w:hint="eastAsia"/>
          <w:sz w:val="24"/>
          <w:szCs w:val="28"/>
        </w:rPr>
        <w:t>将要归纳的内容都标记出来（加起来可能很多字）</w:t>
      </w:r>
    </w:p>
    <w:p w14:paraId="39B584E0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序号分组：</w:t>
      </w:r>
      <w:r>
        <w:rPr>
          <w:rFonts w:hint="eastAsia"/>
          <w:sz w:val="24"/>
          <w:szCs w:val="28"/>
        </w:rPr>
        <w:t>用序号区分每个要归纳的大点</w:t>
      </w:r>
    </w:p>
    <w:p w14:paraId="5DD67C67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概括：</w:t>
      </w:r>
      <w:r>
        <w:rPr>
          <w:rFonts w:hint="eastAsia"/>
          <w:sz w:val="24"/>
          <w:szCs w:val="28"/>
        </w:rPr>
        <w:t>在大点后，先用一句话将所有小点总结下，然后列出每个小点（需要浓缩一下，不然会超出字数）</w:t>
      </w:r>
    </w:p>
    <w:p w14:paraId="49ACA9AB">
      <w:pPr>
        <w:spacing w:after="0" w:line="360" w:lineRule="exact"/>
        <w:ind w:left="6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注：归纳概括不需要自己的观点，全从材料出。本质就是让我们用精炼的方式转述材料</w:t>
      </w:r>
    </w:p>
    <w:p w14:paraId="59055447">
      <w:pPr>
        <w:pStyle w:val="32"/>
        <w:numPr>
          <w:ilvl w:val="0"/>
          <w:numId w:val="3"/>
        </w:numPr>
        <w:spacing w:before="156" w:beforeLines="50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72C16556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全面</w:t>
      </w:r>
    </w:p>
    <w:p w14:paraId="5D628DB5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准确</w:t>
      </w:r>
    </w:p>
    <w:p w14:paraId="050C21A3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有条理</w:t>
      </w:r>
    </w:p>
    <w:p w14:paraId="4AB97B09">
      <w:pPr>
        <w:pStyle w:val="32"/>
        <w:numPr>
          <w:ilvl w:val="1"/>
          <w:numId w:val="3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不超过xx字</w:t>
      </w:r>
    </w:p>
    <w:p w14:paraId="1F77FBD8">
      <w:pPr>
        <w:pStyle w:val="32"/>
        <w:numPr>
          <w:ilvl w:val="0"/>
          <w:numId w:val="3"/>
        </w:numPr>
        <w:spacing w:before="156" w:beforeLines="50" w:after="0" w:line="240" w:lineRule="auto"/>
        <w:ind w:left="578" w:hanging="357"/>
        <w:contextualSpacing w:val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025A6A03">
      <w:pPr>
        <w:pStyle w:val="32"/>
        <w:widowControl/>
        <w:shd w:val="clear" w:color="auto" w:fill="F5F7FA"/>
        <w:spacing w:after="0" w:line="240" w:lineRule="auto"/>
        <w:ind w:left="58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1.社区“吹哨”吹得“准”：精准选人、精准服务。将党员安排到本社区网格，推选网格干部，明确任务指标，提供服务，增加社区力量，协助社区工作与管理；开发微信小程序，搭建线上平台，提供多种功能模块，开通24小时服务，实现群众需求和党员能力精准衔接。</w:t>
      </w:r>
    </w:p>
    <w:p w14:paraId="61A1B11B">
      <w:pPr>
        <w:pStyle w:val="32"/>
        <w:widowControl/>
        <w:shd w:val="clear" w:color="auto" w:fill="F5F7FA"/>
        <w:spacing w:after="0" w:line="240" w:lineRule="auto"/>
        <w:ind w:left="58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2.社区“吹哨”吹得“响”：保障服务效果。要树立主人翁意识，主动化、常态化参与社区工作，了解群众需求，解决社区管理难题，服务群众；接受群众意见，调整服务管理的细节。</w:t>
      </w:r>
    </w:p>
    <w:p w14:paraId="01ED761D">
      <w:pPr>
        <w:pStyle w:val="32"/>
        <w:widowControl/>
        <w:shd w:val="clear" w:color="auto" w:fill="F5F7FA"/>
        <w:spacing w:after="0" w:line="240" w:lineRule="auto"/>
        <w:ind w:left="58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3.社区“吹哨”吹得“久”：加强党员服务监管。随时调阅统计报表，查看服务情况，杜绝形式主义；将报到服务情况作为党员评优指标和预备党员考察内容，对单位、个人建立考核激励、督查落实工作机制。</w:t>
      </w:r>
    </w:p>
    <w:p w14:paraId="3A672210">
      <w:pPr>
        <w:pStyle w:val="32"/>
        <w:numPr>
          <w:ilvl w:val="0"/>
          <w:numId w:val="1"/>
        </w:numPr>
        <w:spacing w:before="156" w:beforeLines="5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提出对策</w:t>
      </w:r>
    </w:p>
    <w:p w14:paraId="6114D1E3">
      <w:pPr>
        <w:pStyle w:val="32"/>
        <w:numPr>
          <w:ilvl w:val="0"/>
          <w:numId w:val="4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</w:t>
      </w:r>
    </w:p>
    <w:p w14:paraId="3DD752D4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提出对策其实是基于归纳概括的，要先将问题归纳一下，然后给出对应的对策</w:t>
      </w:r>
    </w:p>
    <w:p w14:paraId="3D169462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注：如题目明确要求只提对策，不梳理问题，则直接进行第④步即可</w:t>
      </w:r>
    </w:p>
    <w:p w14:paraId="233190E7">
      <w:pPr>
        <w:pStyle w:val="32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标记问题相关：</w:t>
      </w:r>
      <w:r>
        <w:rPr>
          <w:rFonts w:hint="eastAsia"/>
          <w:sz w:val="24"/>
          <w:szCs w:val="28"/>
        </w:rPr>
        <w:t>将问题相关的材料标记出来</w:t>
      </w:r>
    </w:p>
    <w:p w14:paraId="71941A9D">
      <w:pPr>
        <w:pStyle w:val="32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序号分组：</w:t>
      </w:r>
      <w:r>
        <w:rPr>
          <w:rFonts w:hint="eastAsia"/>
          <w:sz w:val="24"/>
          <w:szCs w:val="28"/>
        </w:rPr>
        <w:t>根据标记情况，将内容分为几类问题，并序号分组</w:t>
      </w:r>
    </w:p>
    <w:p w14:paraId="5BB5589B">
      <w:pPr>
        <w:pStyle w:val="32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概括问题：</w:t>
      </w:r>
      <w:r>
        <w:rPr>
          <w:rFonts w:hint="eastAsia"/>
          <w:sz w:val="24"/>
          <w:szCs w:val="28"/>
        </w:rPr>
        <w:t>将每个问题概括一下，切记在描述精简后的具体问题之前，先用一句话将这个问题再总结一下</w:t>
      </w:r>
    </w:p>
    <w:p w14:paraId="6FAAE268">
      <w:pPr>
        <w:pStyle w:val="32"/>
        <w:numPr>
          <w:ilvl w:val="1"/>
          <w:numId w:val="4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提出对策：</w:t>
      </w:r>
      <w:r>
        <w:rPr>
          <w:rFonts w:hint="eastAsia"/>
          <w:sz w:val="24"/>
          <w:szCs w:val="28"/>
        </w:rPr>
        <w:t>紧接着在后面给出建议或对策，要站在基层公务员的视角，不要假大空，要具体明确，切实可行。如果内容不多，可不在对策开头再进行总结</w:t>
      </w:r>
    </w:p>
    <w:p w14:paraId="660AAC3F">
      <w:pPr>
        <w:pStyle w:val="32"/>
        <w:numPr>
          <w:ilvl w:val="0"/>
          <w:numId w:val="4"/>
        </w:numPr>
        <w:spacing w:before="156" w:beforeLines="50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6FBB9872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sz w:val="24"/>
          <w:szCs w:val="28"/>
        </w:rPr>
        <w:t>问题梳理全面、准确、有条理；</w:t>
      </w:r>
    </w:p>
    <w:p w14:paraId="42B530AD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sz w:val="24"/>
          <w:szCs w:val="28"/>
        </w:rPr>
        <w:t>所提建议与问题相对应，具体明确、切实可行；</w:t>
      </w:r>
    </w:p>
    <w:p w14:paraId="64A4F58C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sz w:val="24"/>
          <w:szCs w:val="28"/>
        </w:rPr>
        <w:t>不超过</w:t>
      </w:r>
      <w:r>
        <w:rPr>
          <w:rFonts w:hint="eastAsia"/>
          <w:sz w:val="24"/>
          <w:szCs w:val="28"/>
        </w:rPr>
        <w:t>xx</w:t>
      </w:r>
      <w:r>
        <w:rPr>
          <w:sz w:val="24"/>
          <w:szCs w:val="28"/>
        </w:rPr>
        <w:t>字。</w:t>
      </w:r>
    </w:p>
    <w:p w14:paraId="7B680856">
      <w:pPr>
        <w:pStyle w:val="32"/>
        <w:numPr>
          <w:ilvl w:val="0"/>
          <w:numId w:val="4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5CC645B1">
      <w:pPr>
        <w:widowControl/>
        <w:shd w:val="clear" w:color="auto" w:fill="F5F7FA"/>
        <w:spacing w:after="0" w:line="240" w:lineRule="auto"/>
        <w:ind w:left="420" w:firstLine="960" w:firstLineChars="40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1.问题：项目脱离群众。不听取群众意见，群众无法从项目中获得收益。建议：项目规划要广泛调查、吸纳群众意见，让群众深度参与旅游产业、项目。</w:t>
      </w:r>
    </w:p>
    <w:p w14:paraId="3D6C8C7D">
      <w:pPr>
        <w:widowControl/>
        <w:shd w:val="clear" w:color="auto" w:fill="F5F7FA"/>
        <w:spacing w:after="0" w:line="240" w:lineRule="auto"/>
        <w:ind w:left="420" w:firstLine="4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2.问题：群众配合度低。散养禽畜，乱倒垃圾，村里卫生环境差。建议：制定村规民约，对禽畜养殖、垃圾处理等问题作出明确规范，并配套奖惩措施。</w:t>
      </w:r>
    </w:p>
    <w:p w14:paraId="0856748D">
      <w:pPr>
        <w:widowControl/>
        <w:shd w:val="clear" w:color="auto" w:fill="F5F7FA"/>
        <w:spacing w:after="0" w:line="240" w:lineRule="auto"/>
        <w:ind w:left="2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3.问题：同质化严重。缺少地方特色，核心竞争力不足，历史文化深度挖掘不够。建议：开发创意场景，并充分挖掘地方特色、文化，体现不同村落的差异。</w:t>
      </w:r>
    </w:p>
    <w:p w14:paraId="77C1F03A">
      <w:pPr>
        <w:widowControl/>
        <w:shd w:val="clear" w:color="auto" w:fill="F5F7FA"/>
        <w:spacing w:after="0" w:line="240" w:lineRule="auto"/>
        <w:ind w:left="2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4.问题：缺少资源。村子无力负担全部支出，缺少专业开发管理人才。建议：申请县级财政补贴，引入社会资本，引进专业旅游规划开发管理人才。</w:t>
      </w:r>
    </w:p>
    <w:p w14:paraId="6629EB50">
      <w:pPr>
        <w:widowControl/>
        <w:shd w:val="clear" w:color="auto" w:fill="F5F7FA"/>
        <w:spacing w:after="0" w:line="240" w:lineRule="auto"/>
        <w:ind w:left="2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5.问题：宣传不到位。群众不了解修缮保护政策和手续办理流程。建议：通过进村入户、村广播等方式广泛宣传政策，安排专人指导手续办理。</w:t>
      </w:r>
    </w:p>
    <w:p w14:paraId="5D9C3397">
      <w:pPr>
        <w:pStyle w:val="32"/>
        <w:spacing w:after="0" w:line="240" w:lineRule="auto"/>
        <w:ind w:left="580"/>
        <w:outlineLvl w:val="1"/>
        <w:rPr>
          <w:rFonts w:hint="eastAsia"/>
          <w:sz w:val="28"/>
          <w:szCs w:val="32"/>
        </w:rPr>
      </w:pPr>
    </w:p>
    <w:p w14:paraId="05392395">
      <w:pPr>
        <w:pStyle w:val="32"/>
        <w:numPr>
          <w:ilvl w:val="0"/>
          <w:numId w:val="1"/>
        </w:numPr>
        <w:spacing w:before="156" w:beforeLines="5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综合分析</w:t>
      </w:r>
    </w:p>
    <w:p w14:paraId="3D903E4D">
      <w:pPr>
        <w:spacing w:before="156" w:beforeLines="50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0DCC41AC">
      <w:pPr>
        <w:spacing w:before="156" w:beforeLines="50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4C6FA4B5">
      <w:pPr>
        <w:spacing w:before="156" w:beforeLines="50" w:after="0" w:line="240" w:lineRule="auto"/>
        <w:outlineLvl w:val="0"/>
        <w:rPr>
          <w:rFonts w:hint="eastAsia"/>
          <w:b/>
          <w:bCs/>
          <w:sz w:val="32"/>
          <w:szCs w:val="36"/>
        </w:rPr>
      </w:pPr>
    </w:p>
    <w:p w14:paraId="3BF02B41">
      <w:pPr>
        <w:pStyle w:val="32"/>
        <w:numPr>
          <w:ilvl w:val="0"/>
          <w:numId w:val="1"/>
        </w:numPr>
        <w:spacing w:before="156" w:beforeLines="5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应用文写作</w:t>
      </w:r>
    </w:p>
    <w:p w14:paraId="002C431A">
      <w:pPr>
        <w:pStyle w:val="32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题型细分</w:t>
      </w:r>
    </w:p>
    <w:p w14:paraId="02725C1D">
      <w:pPr>
        <w:pStyle w:val="32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公文有很多种类型，如函、汇报提纲等</w:t>
      </w:r>
    </w:p>
    <w:p w14:paraId="408B7E38">
      <w:pPr>
        <w:pStyle w:val="32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解题策略(</w:t>
      </w:r>
      <w:r>
        <w:rPr>
          <w:rFonts w:hint="eastAsia"/>
          <w:sz w:val="24"/>
          <w:szCs w:val="28"/>
        </w:rPr>
        <w:t>以汇报提纲为例</w:t>
      </w:r>
      <w:r>
        <w:rPr>
          <w:rFonts w:hint="eastAsia"/>
          <w:sz w:val="28"/>
          <w:szCs w:val="32"/>
        </w:rPr>
        <w:t>)</w:t>
      </w:r>
    </w:p>
    <w:p w14:paraId="3D16EFFF">
      <w:pPr>
        <w:pStyle w:val="32"/>
        <w:spacing w:after="0" w:line="360" w:lineRule="exact"/>
        <w:ind w:left="578" w:firstLine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一般分四步来，包含标题（一般是关于xx的xx，要求明确直观），总（背景、引出下文），分（将内容分点表述出来），总（进行最后的总结）</w:t>
      </w:r>
    </w:p>
    <w:p w14:paraId="536EC6F0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正文可用词给每个部分下个定义，增加文章的直观性，如第一段的开始加个 背景：。第二段开头加个主要做法：。</w:t>
      </w:r>
    </w:p>
    <w:p w14:paraId="3401E248">
      <w:pPr>
        <w:pStyle w:val="32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分区标记材料：</w:t>
      </w:r>
      <w:r>
        <w:rPr>
          <w:rFonts w:hint="eastAsia"/>
          <w:sz w:val="24"/>
          <w:szCs w:val="28"/>
        </w:rPr>
        <w:t>在材料中分别将属于标题、总、分、总的部分标记出来</w:t>
      </w:r>
    </w:p>
    <w:p w14:paraId="4752A173">
      <w:pPr>
        <w:pStyle w:val="32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归纳概括：</w:t>
      </w:r>
      <w:r>
        <w:rPr>
          <w:rFonts w:hint="eastAsia"/>
          <w:sz w:val="24"/>
          <w:szCs w:val="28"/>
        </w:rPr>
        <w:t>根据标记情况，进行归纳总结，分别完善标题、总、分、总。</w:t>
      </w:r>
    </w:p>
    <w:p w14:paraId="5C8E936A">
      <w:pPr>
        <w:pStyle w:val="32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在分中，将内容分点表述时，先用一句话简洁的将后面具体的事务概括下，再讲具体的事务（归纳概括一般都是这种格式，便于突出重点，易拿高分）（其实记这条笔记的时候也是用这种方式）</w:t>
      </w:r>
    </w:p>
    <w:p w14:paraId="03D3CC55">
      <w:pPr>
        <w:pStyle w:val="32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52B2AA87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紧扣资料，内容全面；</w:t>
      </w:r>
    </w:p>
    <w:p w14:paraId="4A9D8AB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逻辑清晰，语言准确；</w:t>
      </w:r>
    </w:p>
    <w:p w14:paraId="18DFCB61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不超过</w:t>
      </w:r>
      <w:r>
        <w:rPr>
          <w:rFonts w:hint="eastAsia"/>
          <w:sz w:val="24"/>
          <w:szCs w:val="28"/>
        </w:rPr>
        <w:t>xx</w:t>
      </w:r>
      <w:r>
        <w:rPr>
          <w:sz w:val="24"/>
          <w:szCs w:val="28"/>
        </w:rPr>
        <w:t>字。</w:t>
      </w:r>
    </w:p>
    <w:p w14:paraId="70796E5B">
      <w:pPr>
        <w:pStyle w:val="32"/>
        <w:numPr>
          <w:ilvl w:val="0"/>
          <w:numId w:val="5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经典案例</w:t>
      </w:r>
    </w:p>
    <w:p w14:paraId="54B29D99">
      <w:pPr>
        <w:pStyle w:val="32"/>
        <w:widowControl/>
        <w:numPr>
          <w:ilvl w:val="0"/>
          <w:numId w:val="5"/>
        </w:numPr>
        <w:shd w:val="clear" w:color="auto" w:fill="F5F7FA"/>
        <w:spacing w:after="0" w:line="240" w:lineRule="auto"/>
        <w:jc w:val="center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关于解决备耕农资供应问题的汇报提纲</w:t>
      </w:r>
    </w:p>
    <w:p w14:paraId="6354DCA2">
      <w:pPr>
        <w:pStyle w:val="32"/>
        <w:widowControl/>
        <w:shd w:val="clear" w:color="auto" w:fill="F5F7FA"/>
        <w:spacing w:after="0" w:line="240" w:lineRule="auto"/>
        <w:ind w:left="58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背景：我省是农业大省，农资供应是否量足价稳质优，事关夏粮能否增产和粮食安全大局，为此，我县采取了一系列举措解决农资供应中的问题。</w:t>
      </w:r>
    </w:p>
    <w:p w14:paraId="49A11BD3">
      <w:pPr>
        <w:widowControl/>
        <w:shd w:val="clear" w:color="auto" w:fill="F5F7FA"/>
        <w:spacing w:after="0" w:line="240" w:lineRule="auto"/>
        <w:ind w:left="2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       主要做法：一、保障农资价格稳定。农资公司统一进货、配送，压缩流通环节成本，降低农户农资支出，根据市场变化启动化肥等农资出库工作；县相关部门落实惠民惠农财政补贴资金“一卡通”发放管理，每亩补贴超过100元。二、畅通交通物流。J县出台疫情防控期间滞销农产品销售及春耕农资供应保障预案，开通农资“点对点”保供运输绿色通道，严禁随意设卡拦截、断路封路等行为，打通经营网点到田间地头“最后一公里”；农资生产重点企业加强调度管理，保持连续生产，提供线上销售。三、开展农技知识培训。各单位联合开展农药安全、合理使用的政策规定和科学知识的培训，利用互联网改造提升传统农技服务模式，通过“短视频+直播”形式传播农技知识。四、开展执法检查。各部门联合开展农资打假专项治理行动，密切协作形成合力，进行常态化巡查检查。</w:t>
      </w:r>
    </w:p>
    <w:p w14:paraId="44B559D9">
      <w:pPr>
        <w:widowControl/>
        <w:shd w:val="clear" w:color="auto" w:fill="F5F7FA"/>
        <w:spacing w:after="0" w:line="240" w:lineRule="auto"/>
        <w:ind w:left="420" w:firstLine="420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结语：通过以上举措，进一步提升了农民种粮积极性，保障了农户收益，助推春耕工作有序开展。</w:t>
      </w:r>
    </w:p>
    <w:p w14:paraId="27EB32FD">
      <w:pPr>
        <w:pStyle w:val="32"/>
        <w:spacing w:before="156" w:beforeLines="50" w:after="0" w:line="240" w:lineRule="auto"/>
        <w:ind w:left="420"/>
        <w:contextualSpacing w:val="0"/>
        <w:rPr>
          <w:rFonts w:hint="eastAsia"/>
          <w:b/>
          <w:bCs/>
          <w:sz w:val="32"/>
          <w:szCs w:val="36"/>
        </w:rPr>
      </w:pPr>
    </w:p>
    <w:p w14:paraId="1399E0C1">
      <w:pPr>
        <w:pStyle w:val="32"/>
        <w:numPr>
          <w:ilvl w:val="0"/>
          <w:numId w:val="1"/>
        </w:numPr>
        <w:spacing w:before="156" w:beforeLines="5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大作文</w:t>
      </w:r>
    </w:p>
    <w:p w14:paraId="724081F7">
      <w:pPr>
        <w:pStyle w:val="32"/>
        <w:numPr>
          <w:ilvl w:val="0"/>
          <w:numId w:val="7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解题策略（先大概写下，后期实操对比答案后再补充完善）</w:t>
      </w:r>
    </w:p>
    <w:p w14:paraId="2FC6DCE3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大作文和前面的小题有本质区别，其中会包含一些自己的理解和观点</w:t>
      </w:r>
    </w:p>
    <w:p w14:paraId="5C4A26FD">
      <w:pPr>
        <w:pStyle w:val="32"/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招公务员的目的是基层干活的，所以回答时尽量贴合基层，不要高谈阔论</w:t>
      </w:r>
    </w:p>
    <w:p w14:paraId="238AD5AE">
      <w:pPr>
        <w:spacing w:after="0" w:line="360" w:lineRule="exact"/>
        <w:rPr>
          <w:rFonts w:hint="eastAsia"/>
          <w:sz w:val="24"/>
          <w:szCs w:val="28"/>
        </w:rPr>
      </w:pPr>
    </w:p>
    <w:p w14:paraId="7B14C98D">
      <w:pPr>
        <w:pStyle w:val="32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捋清思路：</w:t>
      </w:r>
      <w:r>
        <w:rPr>
          <w:rFonts w:hint="eastAsia"/>
          <w:sz w:val="24"/>
          <w:szCs w:val="28"/>
        </w:rPr>
        <w:t>以问题为导向，捋清思路，搞清楚要讲什么</w:t>
      </w:r>
    </w:p>
    <w:p w14:paraId="6785254D">
      <w:pPr>
        <w:pStyle w:val="32"/>
        <w:numPr>
          <w:ilvl w:val="1"/>
          <w:numId w:val="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开头结尾三段论：</w:t>
      </w:r>
      <w:r>
        <w:rPr>
          <w:rFonts w:hint="eastAsia"/>
          <w:sz w:val="24"/>
          <w:szCs w:val="28"/>
        </w:rPr>
        <w:t>开头和结尾与应用文类似。中间的分，大作文一般以三个分论点来写。三个分论点一般是并列的，但如果有条件写成递进的，效果会更好，如不敢腐-&gt;不能腐-&gt;不想腐</w:t>
      </w:r>
    </w:p>
    <w:p w14:paraId="6CFBB25B">
      <w:pPr>
        <w:pStyle w:val="32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每个分论点写成论点+材料+观点这种形式</w:t>
      </w:r>
    </w:p>
    <w:p w14:paraId="3DEFC8CE">
      <w:pPr>
        <w:pStyle w:val="32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结尾最好用点高级词汇，最好和开头形成呼应，且要总结概述三段论的内容</w:t>
      </w:r>
    </w:p>
    <w:p w14:paraId="1B622E3C">
      <w:pPr>
        <w:pStyle w:val="32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观点表达的时候直白点，不要隐晦</w:t>
      </w:r>
    </w:p>
    <w:p w14:paraId="645B2557">
      <w:pPr>
        <w:pStyle w:val="32"/>
        <w:spacing w:after="0" w:line="360" w:lineRule="exact"/>
        <w:ind w:left="1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以上这些考虑要不要展开分点来讲</w:t>
      </w:r>
    </w:p>
    <w:p w14:paraId="782A70D6">
      <w:pPr>
        <w:pStyle w:val="32"/>
        <w:numPr>
          <w:ilvl w:val="0"/>
          <w:numId w:val="7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给分标准</w:t>
      </w:r>
    </w:p>
    <w:p w14:paraId="129827EE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紧扣资料，内容全面，结构完整；</w:t>
      </w:r>
    </w:p>
    <w:p w14:paraId="63A19C5B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条理清晰，语言流畅；</w:t>
      </w:r>
    </w:p>
    <w:p w14:paraId="3B09616A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不要涂改！！</w:t>
      </w:r>
    </w:p>
    <w:p w14:paraId="7AF3CF48">
      <w:pPr>
        <w:pStyle w:val="32"/>
        <w:numPr>
          <w:ilvl w:val="1"/>
          <w:numId w:val="4"/>
        </w:numPr>
        <w:spacing w:after="0" w:line="360" w:lineRule="exact"/>
        <w:ind w:left="1015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不超过600字。</w:t>
      </w:r>
    </w:p>
    <w:p w14:paraId="02011D4D">
      <w:pPr>
        <w:spacing w:before="156" w:beforeLines="50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不要和写作文一样，弯弯绕，直白简洁点</w:t>
      </w:r>
    </w:p>
    <w:p w14:paraId="617A24B2">
      <w:pPr>
        <w:pStyle w:val="32"/>
        <w:spacing w:before="156" w:beforeLines="50" w:after="0" w:line="240" w:lineRule="auto"/>
        <w:ind w:left="578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drawing>
          <wp:inline distT="0" distB="0" distL="0" distR="0">
            <wp:extent cx="5267325" cy="6238875"/>
            <wp:effectExtent l="0" t="0" r="9525" b="9525"/>
            <wp:docPr id="26247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7012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2551">
      <w:pPr>
        <w:rPr>
          <w:rFonts w:hint="eastAsia"/>
        </w:rPr>
      </w:pPr>
      <w:r>
        <w:rPr>
          <w:rFonts w:hint="eastAsia"/>
        </w:rPr>
        <w:t>二、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65FCC"/>
    <w:multiLevelType w:val="multilevel"/>
    <w:tmpl w:val="16265FCC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abstractNum w:abstractNumId="1">
    <w:nsid w:val="3974570D"/>
    <w:multiLevelType w:val="multilevel"/>
    <w:tmpl w:val="3974570D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abstractNum w:abstractNumId="2">
    <w:nsid w:val="3EDD73BB"/>
    <w:multiLevelType w:val="multilevel"/>
    <w:tmpl w:val="3EDD73BB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abstractNum w:abstractNumId="3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62E6B8A"/>
    <w:multiLevelType w:val="multilevel"/>
    <w:tmpl w:val="562E6B8A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abstractNum w:abstractNumId="5">
    <w:nsid w:val="568F7ED2"/>
    <w:multiLevelType w:val="multilevel"/>
    <w:tmpl w:val="568F7ED2"/>
    <w:lvl w:ilvl="0" w:tentative="0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D2D6E47"/>
    <w:multiLevelType w:val="multilevel"/>
    <w:tmpl w:val="7D2D6E47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EB"/>
    <w:rsid w:val="00031F0A"/>
    <w:rsid w:val="00057EC6"/>
    <w:rsid w:val="00065178"/>
    <w:rsid w:val="00091D02"/>
    <w:rsid w:val="001436FA"/>
    <w:rsid w:val="00160AD3"/>
    <w:rsid w:val="00164305"/>
    <w:rsid w:val="001A131C"/>
    <w:rsid w:val="001C0118"/>
    <w:rsid w:val="001D2A92"/>
    <w:rsid w:val="00226DCC"/>
    <w:rsid w:val="002408D8"/>
    <w:rsid w:val="00267E32"/>
    <w:rsid w:val="00274472"/>
    <w:rsid w:val="002B7FA2"/>
    <w:rsid w:val="002D7DDB"/>
    <w:rsid w:val="002F4644"/>
    <w:rsid w:val="00331999"/>
    <w:rsid w:val="0037236D"/>
    <w:rsid w:val="00404A17"/>
    <w:rsid w:val="00434596"/>
    <w:rsid w:val="00454712"/>
    <w:rsid w:val="004A314A"/>
    <w:rsid w:val="0051287B"/>
    <w:rsid w:val="005B152B"/>
    <w:rsid w:val="005F1CE2"/>
    <w:rsid w:val="00625B40"/>
    <w:rsid w:val="006D6312"/>
    <w:rsid w:val="006E1AA2"/>
    <w:rsid w:val="006E3775"/>
    <w:rsid w:val="006F2705"/>
    <w:rsid w:val="00713229"/>
    <w:rsid w:val="007305AD"/>
    <w:rsid w:val="00742880"/>
    <w:rsid w:val="00763D2B"/>
    <w:rsid w:val="007931F0"/>
    <w:rsid w:val="00795C4D"/>
    <w:rsid w:val="007B47A0"/>
    <w:rsid w:val="007E6051"/>
    <w:rsid w:val="007F6CF7"/>
    <w:rsid w:val="00847216"/>
    <w:rsid w:val="00884BE5"/>
    <w:rsid w:val="00892D26"/>
    <w:rsid w:val="008A3B36"/>
    <w:rsid w:val="008B6423"/>
    <w:rsid w:val="008C53EB"/>
    <w:rsid w:val="008E2D4C"/>
    <w:rsid w:val="009341C4"/>
    <w:rsid w:val="00954843"/>
    <w:rsid w:val="009759EC"/>
    <w:rsid w:val="00992DBE"/>
    <w:rsid w:val="009C3663"/>
    <w:rsid w:val="00B175F3"/>
    <w:rsid w:val="00B86B98"/>
    <w:rsid w:val="00B93ECC"/>
    <w:rsid w:val="00C03DD9"/>
    <w:rsid w:val="00C5743A"/>
    <w:rsid w:val="00CA1DD9"/>
    <w:rsid w:val="00CC456B"/>
    <w:rsid w:val="00D01A6C"/>
    <w:rsid w:val="00D315B4"/>
    <w:rsid w:val="00D80C72"/>
    <w:rsid w:val="00DA505C"/>
    <w:rsid w:val="00E323C8"/>
    <w:rsid w:val="00E90D47"/>
    <w:rsid w:val="00EC127B"/>
    <w:rsid w:val="00EC5432"/>
    <w:rsid w:val="00F20CE9"/>
    <w:rsid w:val="00F43211"/>
    <w:rsid w:val="00FB021F"/>
    <w:rsid w:val="1C57177A"/>
    <w:rsid w:val="76C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cs="Times New Roman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0"/>
    <w:rPr>
      <w:b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2642</Words>
  <Characters>2663</Characters>
  <Lines>19</Lines>
  <Paragraphs>5</Paragraphs>
  <TotalTime>409</TotalTime>
  <ScaleCrop>false</ScaleCrop>
  <LinksUpToDate>false</LinksUpToDate>
  <CharactersWithSpaces>2724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2025-02-17T08:39:00Z</dcterms:created>
  <dc:creator>jiaxiang hu</dc:creator>
  <cp:lastModifiedBy>胡</cp:lastModifiedBy>
  <dcterms:modified xsi:type="dcterms:W3CDTF">2025-05-06T13:07:46Z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eyJoZGlkIjoiZDE4ZTY3NDRkM2Y0YjNlMDhmZGFjMjE5Y2IxYTk1MTAiLCJ1c2VySWQiOiIxMDE3NTIxMzY3In0=</vt:lpwstr>
  </property>
  <property fmtid="{D5CDD505-2E9C-101B-9397-08002B2CF9AE}" pid="3" name="KSOProductBuildVer">
    <vt:lpwstr>2052-12.1.0.20784</vt:lpwstr>
  </property>
  <property fmtid="{D5CDD505-2E9C-101B-9397-08002B2CF9AE}" pid="4" name="ICV">
    <vt:lpwstr>B91CDB79FA0F4889B4BAF0A41DC3A60D_12</vt:lpwstr>
  </property>
</Properties>
</file>