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10F2AF" w14:textId="77777777" w:rsidR="007F6A3B" w:rsidRDefault="00000000">
      <w:pPr>
        <w:pStyle w:val="aa"/>
        <w:jc w:val="center"/>
      </w:pPr>
      <w:r>
        <w:t>NoteTriage Final Project Report</w:t>
      </w:r>
    </w:p>
    <w:p w14:paraId="3F3B091A" w14:textId="77777777" w:rsidR="007F6A3B" w:rsidRDefault="00000000">
      <w:pPr>
        <w:spacing w:after="60"/>
        <w:jc w:val="center"/>
      </w:pPr>
      <w:r>
        <w:rPr>
          <w:sz w:val="26"/>
        </w:rPr>
        <w:t>PE6201 Emerging AI Technologies</w:t>
      </w:r>
    </w:p>
    <w:p w14:paraId="56D90901" w14:textId="77777777" w:rsidR="007F6A3B" w:rsidRDefault="00000000">
      <w:pPr>
        <w:spacing w:after="60"/>
        <w:jc w:val="center"/>
      </w:pPr>
      <w:r>
        <w:rPr>
          <w:b/>
          <w:sz w:val="24"/>
        </w:rPr>
        <w:t>Yang Ruijia</w:t>
      </w:r>
    </w:p>
    <w:p w14:paraId="5F3B4E0B" w14:textId="77777777" w:rsidR="007F6A3B" w:rsidRDefault="00000000">
      <w:pPr>
        <w:spacing w:after="60"/>
        <w:jc w:val="center"/>
      </w:pPr>
      <w:r>
        <w:t>1 October 2026</w:t>
      </w:r>
    </w:p>
    <w:p w14:paraId="012DDE4E" w14:textId="77777777" w:rsidR="007F6A3B" w:rsidRDefault="00000000">
      <w:pPr>
        <w:spacing w:before="360" w:after="240"/>
      </w:pPr>
      <w:r>
        <w:rPr>
          <w:b/>
        </w:rPr>
        <w:t xml:space="preserve">Executive summary. </w:t>
      </w:r>
      <w:r>
        <w:t>NoteTriage is an assistive system for separating stated facts, unverified assumptions, and open questions in B2B IT-services discovery notes. Its final result shows a useful but incomplete outcome: GPT-4o achieved strong overall classification and valid fact quotes, but missed the pre-registered safety target for assumptions mislabelled as facts. The project therefore supports human review rather than autonomous use.</w:t>
      </w:r>
    </w:p>
    <w:p w14:paraId="57B615CD" w14:textId="77777777" w:rsidR="007F6A3B" w:rsidRDefault="00000000">
      <w:pPr>
        <w:pStyle w:val="1"/>
      </w:pPr>
      <w:r>
        <w:t>1 Problem and intended impact</w:t>
      </w:r>
    </w:p>
    <w:p w14:paraId="7F6F2D8A" w14:textId="77777777" w:rsidR="007F6A3B" w:rsidRDefault="00000000">
      <w:pPr>
        <w:pStyle w:val="af"/>
      </w:pPr>
      <w:r>
        <w:t>A discovery call often becomes a short business-understanding brief used by delivery teams. The problem is that notes mix what a client explicitly said, what an implementation team expects, and what remains unknown. If an unverified statement about an API, access method, dataset, policy, or date is copied into the brief as a fact, the team may plan a sprint around a false premise. The resulting rework is avoidable, but the source of the error can be difficult to find after the note has been summarised.</w:t>
      </w:r>
    </w:p>
    <w:p w14:paraId="67330B28" w14:textId="77777777" w:rsidR="007F6A3B" w:rsidRDefault="00000000">
      <w:pPr>
        <w:pStyle w:val="af"/>
      </w:pPr>
      <w:r>
        <w:t>The primary user is Mei, a first-year implementation associate at a B2B IT-services firm. She needs a quick first pass over notes before a human prepares the delivery brief. NoteTriage makes uncertainty visible rather than attempting to remove it. It labels each sentence as a fact, assumption, or open question. A sentence labelled as a fact must carry a verbatim quote from that same sentence. This requirement makes the proposed fact easier for Mei to check and creates a simple guardrail against unsupported factual claims.</w:t>
      </w:r>
    </w:p>
    <w:p w14:paraId="2C3FD952" w14:textId="77777777" w:rsidR="007F6A3B" w:rsidRDefault="00000000">
      <w:pPr>
        <w:pStyle w:val="1"/>
      </w:pPr>
      <w:r>
        <w:t>2 Product design and technical approach</w:t>
      </w:r>
    </w:p>
    <w:p w14:paraId="2880E5D3" w14:textId="77777777" w:rsidR="007F6A3B" w:rsidRDefault="00000000">
      <w:pPr>
        <w:pStyle w:val="af"/>
      </w:pPr>
      <w:r>
        <w:t>The input is a pasted discovery note, represented as one sentence per line. The output is a review table containing a label, a short rationale where available, and a source quote for every fact. The pipeline first parses the sentences. It then offers two classification paths: a transparent keyword and regular-expression baseline, and GPT-4o called through OpenRouter with a fixed JSON output schema. A validation step checks each quoted fact against the original sentence. If the quote is absent or invalid, the item is downgraded to abstain.</w:t>
      </w:r>
    </w:p>
    <w:p w14:paraId="73FD8A9E" w14:textId="7CBE2E72" w:rsidR="007F6A3B" w:rsidRDefault="00BE5D00" w:rsidP="00BE5D00">
      <w:pPr>
        <w:pStyle w:val="af"/>
      </w:pPr>
      <w:r>
        <w:t>I did not use RAG because the evidence needed for classification is already in the input note. RAG is more useful when a system must search across many documents to answer a question.  I did not use an agent because this task has one fixed step: classify each sentence and return a source quote for facts. An agent would add extra planning and tool calls, but it would not clearly improve this classification task.</w:t>
      </w:r>
      <w:r w:rsidR="00000000">
        <w:t xml:space="preserve"> The rule baseline remains important even though it is weak: it is inspectable, deterministic, inexpensive, and provides a conservative comparison for the LLM. The system is an assistive triage tool; a human must approve any result before it enters a delivery brief.</w:t>
      </w:r>
    </w:p>
    <w:p w14:paraId="60BBCDBA" w14:textId="77777777" w:rsidR="007F6A3B" w:rsidRDefault="00000000">
      <w:pPr>
        <w:pStyle w:val="1"/>
      </w:pPr>
      <w:r>
        <w:lastRenderedPageBreak/>
        <w:t>3 Data and evaluation design</w:t>
      </w:r>
    </w:p>
    <w:p w14:paraId="1FD03BDA" w14:textId="54AB51A3" w:rsidR="007F6A3B" w:rsidRDefault="004F352F">
      <w:pPr>
        <w:pStyle w:val="af"/>
      </w:pPr>
      <w:r w:rsidRPr="004F352F">
        <w:t>The data consists of 15 simulated meeting transcript excerpts of requirement communication that I wrote myself. The inspiration for my content came from my internship experience at my previous internship company.</w:t>
      </w:r>
      <w:r>
        <w:t xml:space="preserve"> Gold labels were frozen before the model run. The final set contains 113 sentences: 43 facts, 29 assumptions, and 41 open questions. The holdout was not used to tune rules or the model prompt.</w:t>
      </w:r>
    </w:p>
    <w:p w14:paraId="1294E786" w14:textId="77777777" w:rsidR="007F6A3B" w:rsidRDefault="00000000">
      <w:pPr>
        <w:pStyle w:val="af"/>
      </w:pPr>
      <w:r>
        <w:t>The primary metric is assumption-as-fact rate: the number of gold assumptions predicted as facts divided by all gold assumptions. It directly measures the project risk. The pre-registered target was below 10 percent. Macro-F1 measures balanced label performance, fact-quote validity checks whether a fact has a valid source quote, and abstention rate shows how often a system declines to classify. These measures were used together because a low safety error rate alone can be achieved by refusing to make useful decisions.</w:t>
      </w:r>
    </w:p>
    <w:p w14:paraId="7582C489" w14:textId="77777777" w:rsidR="007F6A3B" w:rsidRDefault="00000000">
      <w:pPr>
        <w:pStyle w:val="1"/>
      </w:pPr>
      <w:r>
        <w:t>4 Results and critical analysis</w:t>
      </w:r>
    </w:p>
    <w:tbl>
      <w:tblPr>
        <w:tblStyle w:val="aff1"/>
        <w:tblW w:w="0" w:type="auto"/>
        <w:tblLayout w:type="fixed"/>
        <w:tblLook w:val="04A0" w:firstRow="1" w:lastRow="0" w:firstColumn="1" w:lastColumn="0" w:noHBand="0" w:noVBand="1"/>
      </w:tblPr>
      <w:tblGrid>
        <w:gridCol w:w="2376"/>
        <w:gridCol w:w="1800"/>
        <w:gridCol w:w="1296"/>
        <w:gridCol w:w="1368"/>
        <w:gridCol w:w="1944"/>
      </w:tblGrid>
      <w:tr w:rsidR="007F6A3B" w14:paraId="55BD2AFC" w14:textId="77777777">
        <w:tc>
          <w:tcPr>
            <w:tcW w:w="2376" w:type="dxa"/>
            <w:shd w:val="clear" w:color="auto" w:fill="1F4E78"/>
            <w:tcMar>
              <w:top w:w="100" w:type="dxa"/>
              <w:left w:w="120" w:type="dxa"/>
              <w:bottom w:w="100" w:type="dxa"/>
              <w:right w:w="120" w:type="dxa"/>
            </w:tcMar>
            <w:vAlign w:val="center"/>
          </w:tcPr>
          <w:p w14:paraId="34BAB933" w14:textId="77777777" w:rsidR="007F6A3B" w:rsidRDefault="00000000">
            <w:r>
              <w:rPr>
                <w:b/>
                <w:color w:val="FFFFFF"/>
                <w:sz w:val="18"/>
              </w:rPr>
              <w:t>System</w:t>
            </w:r>
          </w:p>
        </w:tc>
        <w:tc>
          <w:tcPr>
            <w:tcW w:w="1800" w:type="dxa"/>
            <w:shd w:val="clear" w:color="auto" w:fill="1F4E78"/>
            <w:tcMar>
              <w:top w:w="100" w:type="dxa"/>
              <w:left w:w="120" w:type="dxa"/>
              <w:bottom w:w="100" w:type="dxa"/>
              <w:right w:w="120" w:type="dxa"/>
            </w:tcMar>
            <w:vAlign w:val="center"/>
          </w:tcPr>
          <w:p w14:paraId="7A5FB5E9" w14:textId="77777777" w:rsidR="007F6A3B" w:rsidRDefault="00000000">
            <w:r>
              <w:rPr>
                <w:b/>
                <w:color w:val="FFFFFF"/>
                <w:sz w:val="18"/>
              </w:rPr>
              <w:t>Assumption as fact</w:t>
            </w:r>
          </w:p>
        </w:tc>
        <w:tc>
          <w:tcPr>
            <w:tcW w:w="1296" w:type="dxa"/>
            <w:shd w:val="clear" w:color="auto" w:fill="1F4E78"/>
            <w:tcMar>
              <w:top w:w="100" w:type="dxa"/>
              <w:left w:w="120" w:type="dxa"/>
              <w:bottom w:w="100" w:type="dxa"/>
              <w:right w:w="120" w:type="dxa"/>
            </w:tcMar>
            <w:vAlign w:val="center"/>
          </w:tcPr>
          <w:p w14:paraId="44D2AA6C" w14:textId="77777777" w:rsidR="007F6A3B" w:rsidRDefault="00000000">
            <w:r>
              <w:rPr>
                <w:b/>
                <w:color w:val="FFFFFF"/>
                <w:sz w:val="18"/>
              </w:rPr>
              <w:t>Macro F1</w:t>
            </w:r>
          </w:p>
        </w:tc>
        <w:tc>
          <w:tcPr>
            <w:tcW w:w="1368" w:type="dxa"/>
            <w:shd w:val="clear" w:color="auto" w:fill="1F4E78"/>
            <w:tcMar>
              <w:top w:w="100" w:type="dxa"/>
              <w:left w:w="120" w:type="dxa"/>
              <w:bottom w:w="100" w:type="dxa"/>
              <w:right w:w="120" w:type="dxa"/>
            </w:tcMar>
            <w:vAlign w:val="center"/>
          </w:tcPr>
          <w:p w14:paraId="60E0D7F6" w14:textId="77777777" w:rsidR="007F6A3B" w:rsidRDefault="00000000">
            <w:r>
              <w:rPr>
                <w:b/>
                <w:color w:val="FFFFFF"/>
                <w:sz w:val="18"/>
              </w:rPr>
              <w:t>Abstention</w:t>
            </w:r>
          </w:p>
        </w:tc>
        <w:tc>
          <w:tcPr>
            <w:tcW w:w="1944" w:type="dxa"/>
            <w:shd w:val="clear" w:color="auto" w:fill="1F4E78"/>
            <w:tcMar>
              <w:top w:w="100" w:type="dxa"/>
              <w:left w:w="120" w:type="dxa"/>
              <w:bottom w:w="100" w:type="dxa"/>
              <w:right w:w="120" w:type="dxa"/>
            </w:tcMar>
            <w:vAlign w:val="center"/>
          </w:tcPr>
          <w:p w14:paraId="2CC9D355" w14:textId="77777777" w:rsidR="007F6A3B" w:rsidRDefault="00000000">
            <w:r>
              <w:rPr>
                <w:b/>
                <w:color w:val="FFFFFF"/>
                <w:sz w:val="18"/>
              </w:rPr>
              <w:t>Quote validity</w:t>
            </w:r>
          </w:p>
        </w:tc>
      </w:tr>
      <w:tr w:rsidR="007F6A3B" w14:paraId="4BC7E89A" w14:textId="77777777">
        <w:tc>
          <w:tcPr>
            <w:tcW w:w="2376" w:type="dxa"/>
            <w:tcMar>
              <w:top w:w="100" w:type="dxa"/>
              <w:left w:w="120" w:type="dxa"/>
              <w:bottom w:w="100" w:type="dxa"/>
              <w:right w:w="120" w:type="dxa"/>
            </w:tcMar>
            <w:vAlign w:val="center"/>
          </w:tcPr>
          <w:p w14:paraId="5526EDD9" w14:textId="77777777" w:rsidR="007F6A3B" w:rsidRDefault="00000000">
            <w:r>
              <w:rPr>
                <w:sz w:val="18"/>
              </w:rPr>
              <w:t>Keyword and regex baseline</w:t>
            </w:r>
          </w:p>
        </w:tc>
        <w:tc>
          <w:tcPr>
            <w:tcW w:w="1800" w:type="dxa"/>
            <w:tcMar>
              <w:top w:w="100" w:type="dxa"/>
              <w:left w:w="120" w:type="dxa"/>
              <w:bottom w:w="100" w:type="dxa"/>
              <w:right w:w="120" w:type="dxa"/>
            </w:tcMar>
            <w:vAlign w:val="center"/>
          </w:tcPr>
          <w:p w14:paraId="517F71AD" w14:textId="77777777" w:rsidR="007F6A3B" w:rsidRDefault="00000000">
            <w:r>
              <w:rPr>
                <w:sz w:val="18"/>
              </w:rPr>
              <w:t>0/29 (0.0%)</w:t>
            </w:r>
          </w:p>
        </w:tc>
        <w:tc>
          <w:tcPr>
            <w:tcW w:w="1296" w:type="dxa"/>
            <w:tcMar>
              <w:top w:w="100" w:type="dxa"/>
              <w:left w:w="120" w:type="dxa"/>
              <w:bottom w:w="100" w:type="dxa"/>
              <w:right w:w="120" w:type="dxa"/>
            </w:tcMar>
            <w:vAlign w:val="center"/>
          </w:tcPr>
          <w:p w14:paraId="2138DD81" w14:textId="77777777" w:rsidR="007F6A3B" w:rsidRDefault="00000000">
            <w:r>
              <w:rPr>
                <w:sz w:val="18"/>
              </w:rPr>
              <w:t>0.311</w:t>
            </w:r>
          </w:p>
        </w:tc>
        <w:tc>
          <w:tcPr>
            <w:tcW w:w="1368" w:type="dxa"/>
            <w:tcMar>
              <w:top w:w="100" w:type="dxa"/>
              <w:left w:w="120" w:type="dxa"/>
              <w:bottom w:w="100" w:type="dxa"/>
              <w:right w:w="120" w:type="dxa"/>
            </w:tcMar>
            <w:vAlign w:val="center"/>
          </w:tcPr>
          <w:p w14:paraId="1D9667AC" w14:textId="77777777" w:rsidR="007F6A3B" w:rsidRDefault="00000000">
            <w:r>
              <w:rPr>
                <w:sz w:val="18"/>
              </w:rPr>
              <w:t>77.0%</w:t>
            </w:r>
          </w:p>
        </w:tc>
        <w:tc>
          <w:tcPr>
            <w:tcW w:w="1944" w:type="dxa"/>
            <w:tcMar>
              <w:top w:w="100" w:type="dxa"/>
              <w:left w:w="120" w:type="dxa"/>
              <w:bottom w:w="100" w:type="dxa"/>
              <w:right w:w="120" w:type="dxa"/>
            </w:tcMar>
            <w:vAlign w:val="center"/>
          </w:tcPr>
          <w:p w14:paraId="2E13E1BD" w14:textId="77777777" w:rsidR="007F6A3B" w:rsidRDefault="00000000">
            <w:r>
              <w:rPr>
                <w:sz w:val="18"/>
              </w:rPr>
              <w:t>100%</w:t>
            </w:r>
          </w:p>
        </w:tc>
      </w:tr>
      <w:tr w:rsidR="007F6A3B" w14:paraId="0A97D3E5" w14:textId="77777777">
        <w:tc>
          <w:tcPr>
            <w:tcW w:w="2376" w:type="dxa"/>
            <w:shd w:val="clear" w:color="auto" w:fill="EAF2F8"/>
            <w:tcMar>
              <w:top w:w="100" w:type="dxa"/>
              <w:left w:w="120" w:type="dxa"/>
              <w:bottom w:w="100" w:type="dxa"/>
              <w:right w:w="120" w:type="dxa"/>
            </w:tcMar>
            <w:vAlign w:val="center"/>
          </w:tcPr>
          <w:p w14:paraId="4F3326B9" w14:textId="77777777" w:rsidR="007F6A3B" w:rsidRDefault="00000000">
            <w:r>
              <w:rPr>
                <w:sz w:val="18"/>
              </w:rPr>
              <w:t>GPT-4o</w:t>
            </w:r>
          </w:p>
        </w:tc>
        <w:tc>
          <w:tcPr>
            <w:tcW w:w="1800" w:type="dxa"/>
            <w:shd w:val="clear" w:color="auto" w:fill="EAF2F8"/>
            <w:tcMar>
              <w:top w:w="100" w:type="dxa"/>
              <w:left w:w="120" w:type="dxa"/>
              <w:bottom w:w="100" w:type="dxa"/>
              <w:right w:w="120" w:type="dxa"/>
            </w:tcMar>
            <w:vAlign w:val="center"/>
          </w:tcPr>
          <w:p w14:paraId="78616BAF" w14:textId="77777777" w:rsidR="007F6A3B" w:rsidRDefault="00000000">
            <w:r>
              <w:rPr>
                <w:sz w:val="18"/>
              </w:rPr>
              <w:t>3/29 (10.3%)</w:t>
            </w:r>
          </w:p>
        </w:tc>
        <w:tc>
          <w:tcPr>
            <w:tcW w:w="1296" w:type="dxa"/>
            <w:shd w:val="clear" w:color="auto" w:fill="EAF2F8"/>
            <w:tcMar>
              <w:top w:w="100" w:type="dxa"/>
              <w:left w:w="120" w:type="dxa"/>
              <w:bottom w:w="100" w:type="dxa"/>
              <w:right w:w="120" w:type="dxa"/>
            </w:tcMar>
            <w:vAlign w:val="center"/>
          </w:tcPr>
          <w:p w14:paraId="4C6D08AB" w14:textId="77777777" w:rsidR="007F6A3B" w:rsidRDefault="00000000">
            <w:r>
              <w:rPr>
                <w:sz w:val="18"/>
              </w:rPr>
              <w:t>0.843</w:t>
            </w:r>
          </w:p>
        </w:tc>
        <w:tc>
          <w:tcPr>
            <w:tcW w:w="1368" w:type="dxa"/>
            <w:shd w:val="clear" w:color="auto" w:fill="EAF2F8"/>
            <w:tcMar>
              <w:top w:w="100" w:type="dxa"/>
              <w:left w:w="120" w:type="dxa"/>
              <w:bottom w:w="100" w:type="dxa"/>
              <w:right w:w="120" w:type="dxa"/>
            </w:tcMar>
            <w:vAlign w:val="center"/>
          </w:tcPr>
          <w:p w14:paraId="0DF257C6" w14:textId="77777777" w:rsidR="007F6A3B" w:rsidRDefault="00000000">
            <w:r>
              <w:rPr>
                <w:sz w:val="18"/>
              </w:rPr>
              <w:t>0.0%</w:t>
            </w:r>
          </w:p>
        </w:tc>
        <w:tc>
          <w:tcPr>
            <w:tcW w:w="1944" w:type="dxa"/>
            <w:shd w:val="clear" w:color="auto" w:fill="EAF2F8"/>
            <w:tcMar>
              <w:top w:w="100" w:type="dxa"/>
              <w:left w:w="120" w:type="dxa"/>
              <w:bottom w:w="100" w:type="dxa"/>
              <w:right w:w="120" w:type="dxa"/>
            </w:tcMar>
            <w:vAlign w:val="center"/>
          </w:tcPr>
          <w:p w14:paraId="251DFDA1" w14:textId="77777777" w:rsidR="007F6A3B" w:rsidRDefault="00000000">
            <w:r>
              <w:rPr>
                <w:sz w:val="18"/>
              </w:rPr>
              <w:t>100%</w:t>
            </w:r>
          </w:p>
        </w:tc>
      </w:tr>
    </w:tbl>
    <w:p w14:paraId="7DA8B9D3" w14:textId="77777777" w:rsidR="007F6A3B" w:rsidRDefault="00000000">
      <w:pPr>
        <w:pStyle w:val="af7"/>
      </w:pPr>
      <w:r>
        <w:t>Table 1. Frozen 15-note holdout results.</w:t>
      </w:r>
    </w:p>
    <w:p w14:paraId="4CEDD85A" w14:textId="77777777" w:rsidR="007F6A3B" w:rsidRDefault="00000000">
      <w:pPr>
        <w:pStyle w:val="af"/>
      </w:pPr>
      <w:r>
        <w:t>GPT-4o, specifically openai/gpt-4o-2024-08-06, produced a macro-F1 of 0.843 and a fact-quote validity rate of 100 percent. It returned a label for every sentence, so it did not abstain. These results show that the structured output and quote check can produce a reviewable result with much broader coverage than the keyword baseline. However, the primary safety result did not meet the target: 3 of 29 assumptions were predicted as facts, or 10.3 percent. Since the target was below 10 percent, the model missed it by one error. This is not a rounding issue; with 29 assumption sentences, the maximum acceptable count was two.</w:t>
      </w:r>
    </w:p>
    <w:p w14:paraId="5B91C28B" w14:textId="77777777" w:rsidR="007F6A3B" w:rsidRDefault="00000000">
      <w:pPr>
        <w:pStyle w:val="af"/>
      </w:pPr>
      <w:r>
        <w:t>The baseline reached zero assumption-as-fact errors, but it abstained on 77.0 percent of all sentences and achieved only 0.311 macro-F1. It is safer in this narrow measure because it rarely commits to a factual label, not because it understands the note well. GPT-4o has the opposite profile: it is useful for triage but still makes a safety-relevant mistake. The comparison demonstrates why reporting only F1 would be misleading. A human reviewer should treat GPT-4o's fact label as a candidate supported by a quote, not as an automatic commitment.</w:t>
      </w:r>
    </w:p>
    <w:p w14:paraId="01E14423" w14:textId="77777777" w:rsidR="007F6A3B" w:rsidRDefault="00000000">
      <w:pPr>
        <w:pStyle w:val="1"/>
      </w:pPr>
      <w:r>
        <w:t>5 Costs difficulties and limitations</w:t>
      </w:r>
    </w:p>
    <w:p w14:paraId="39FFACEF" w14:textId="77777777" w:rsidR="007F6A3B" w:rsidRDefault="00000000">
      <w:pPr>
        <w:pStyle w:val="af"/>
      </w:pPr>
      <w:r>
        <w:t xml:space="preserve">The frozen GPT-4o run used 4,120 input tokens and 3,786 output tokens, took 19.34 seconds, and cost an estimated USD 0.04816 for all 15 notes, or USD 0.00321 per note. This is a small cost for an early review step, but it should be monitored if the tool is used across many calls. The main implementation difficulty was turning a desirable safety principle into a testable system behaviour. I addressed this </w:t>
      </w:r>
      <w:r>
        <w:lastRenderedPageBreak/>
        <w:t>with frozen labels, an explicit denominator for the safety metric, a verbatim-source validation step, and a comparison against a conservative baseline.</w:t>
      </w:r>
    </w:p>
    <w:p w14:paraId="209A2BD6" w14:textId="77777777" w:rsidR="007F6A3B" w:rsidRDefault="00000000">
      <w:pPr>
        <w:pStyle w:val="af"/>
      </w:pPr>
      <w:r>
        <w:t>The evaluation has important limits. The dataset is fictional and small, so it cannot establish performance on live client material. Although I wrote the holdout notes manually, some scenario themes were inspired by early development examples; this reduces topical independence. Gold labels also reflect one person's judgement. A sentence can reasonably appear ambiguous, and I have not measured agreement with a second annotator. Finally, a valid quote proves that a statement comes from the note, not that the client's statement is true in the real world.</w:t>
      </w:r>
    </w:p>
    <w:p w14:paraId="55908782" w14:textId="77777777" w:rsidR="007F6A3B" w:rsidRDefault="00000000">
      <w:pPr>
        <w:pStyle w:val="1"/>
      </w:pPr>
      <w:r>
        <w:t>6 Future path and conclusion</w:t>
      </w:r>
    </w:p>
    <w:p w14:paraId="24AB6D1B" w14:textId="77777777" w:rsidR="007F6A3B" w:rsidRDefault="00000000">
      <w:pPr>
        <w:pStyle w:val="af"/>
      </w:pPr>
      <w:r>
        <w:t>The next version should use more independently authored, privacy-safe notes across different business contexts. Two blind annotators should label the same material and document disagreement before the final label is fixed. Model changes should be tested on a development set only, with the final holdout remaining untouched. The interface could also make uncertainty more visible by sending low-confidence or conflicting outputs directly to a human review queue.</w:t>
      </w:r>
    </w:p>
    <w:p w14:paraId="5F856758" w14:textId="77777777" w:rsidR="007F6A3B" w:rsidRDefault="00000000">
      <w:pPr>
        <w:pStyle w:val="af"/>
      </w:pPr>
      <w:r>
        <w:t>NoteTriage makes a modest but practical change to the current workflow: it preserves the difference between what was said, what is believed, and what still needs confirmation. The final evaluation does not justify autonomous use, because GPT-4o missed the safety target. It does, however, justify further work on a human-in-the-loop tool whose evidence requirement makes review faster and more accountable.</w:t>
      </w:r>
    </w:p>
    <w:p w14:paraId="1BDA8033" w14:textId="77777777" w:rsidR="007F6A3B" w:rsidRDefault="00000000">
      <w:pPr>
        <w:pStyle w:val="1"/>
      </w:pPr>
      <w:r>
        <w:t>References</w:t>
      </w:r>
    </w:p>
    <w:p w14:paraId="2874E737" w14:textId="77777777" w:rsidR="007F6A3B" w:rsidRDefault="00000000">
      <w:pPr>
        <w:pStyle w:val="af"/>
        <w:ind w:left="288" w:hanging="288"/>
      </w:pPr>
      <w:r>
        <w:t>NoteTriage repository documentation. 2026. Product documentation and evaluation records.</w:t>
      </w:r>
    </w:p>
    <w:p w14:paraId="27D6F5C9" w14:textId="77777777" w:rsidR="007F6A3B" w:rsidRDefault="00000000">
      <w:pPr>
        <w:pStyle w:val="af"/>
        <w:ind w:left="288" w:hanging="288"/>
      </w:pPr>
      <w:r>
        <w:t>OpenRouter evaluation record. 2026. GPT-4o frozen holdout run and cost calculation.</w:t>
      </w:r>
    </w:p>
    <w:sectPr w:rsidR="007F6A3B" w:rsidSect="00034616">
      <w:footerReference w:type="default" r:id="rId8"/>
      <w:pgSz w:w="12240" w:h="15840"/>
      <w:pgMar w:top="1181" w:right="1296" w:bottom="1037"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25191E" w14:textId="77777777" w:rsidR="007C109A" w:rsidRDefault="007C109A">
      <w:pPr>
        <w:spacing w:after="0" w:line="240" w:lineRule="auto"/>
      </w:pPr>
      <w:r>
        <w:separator/>
      </w:r>
    </w:p>
  </w:endnote>
  <w:endnote w:type="continuationSeparator" w:id="0">
    <w:p w14:paraId="309A0C22" w14:textId="77777777" w:rsidR="007C109A" w:rsidRDefault="007C1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060B7" w14:textId="77777777" w:rsidR="007F6A3B" w:rsidRDefault="00000000">
    <w:pPr>
      <w:pStyle w:val="a7"/>
      <w:jc w:val="center"/>
    </w:pPr>
    <w:r>
      <w:rPr>
        <w:sz w:val="18"/>
      </w:rPr>
      <w:t xml:space="preserve">Page </w:t>
    </w:r>
    <w:r>
      <w:fldChar w:fldCharType="begin"/>
    </w:r>
    <w:r>
      <w:instrText>PAGE</w:instrText>
    </w:r>
    <w:r>
      <w:fldChar w:fldCharType="separate"/>
    </w:r>
    <w:r w:rsidR="004F35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E4A8E9" w14:textId="77777777" w:rsidR="007C109A" w:rsidRDefault="007C109A">
      <w:pPr>
        <w:spacing w:after="0" w:line="240" w:lineRule="auto"/>
      </w:pPr>
      <w:r>
        <w:separator/>
      </w:r>
    </w:p>
  </w:footnote>
  <w:footnote w:type="continuationSeparator" w:id="0">
    <w:p w14:paraId="65A69651" w14:textId="77777777" w:rsidR="007C109A" w:rsidRDefault="007C1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6077446">
    <w:abstractNumId w:val="8"/>
  </w:num>
  <w:num w:numId="2" w16cid:durableId="1158497017">
    <w:abstractNumId w:val="6"/>
  </w:num>
  <w:num w:numId="3" w16cid:durableId="30768662">
    <w:abstractNumId w:val="5"/>
  </w:num>
  <w:num w:numId="4" w16cid:durableId="1778674546">
    <w:abstractNumId w:val="4"/>
  </w:num>
  <w:num w:numId="5" w16cid:durableId="1264920081">
    <w:abstractNumId w:val="7"/>
  </w:num>
  <w:num w:numId="6" w16cid:durableId="102849165">
    <w:abstractNumId w:val="3"/>
  </w:num>
  <w:num w:numId="7" w16cid:durableId="1858813436">
    <w:abstractNumId w:val="2"/>
  </w:num>
  <w:num w:numId="8" w16cid:durableId="122580744">
    <w:abstractNumId w:val="1"/>
  </w:num>
  <w:num w:numId="9" w16cid:durableId="13193820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52F"/>
    <w:rsid w:val="00767E03"/>
    <w:rsid w:val="007C109A"/>
    <w:rsid w:val="007E27DA"/>
    <w:rsid w:val="007F6A3B"/>
    <w:rsid w:val="00AA1D8D"/>
    <w:rsid w:val="00B47730"/>
    <w:rsid w:val="00BE5D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F52B1"/>
  <w14:defaultImageDpi w14:val="300"/>
  <w15:docId w15:val="{7763A372-F06F-3E46-BEA5-6D11B8857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rPr>
  </w:style>
  <w:style w:type="paragraph" w:styleId="1">
    <w:name w:val="heading 1"/>
    <w:basedOn w:val="a1"/>
    <w:next w:val="a1"/>
    <w:link w:val="10"/>
    <w:uiPriority w:val="9"/>
    <w:qFormat/>
    <w:rsid w:val="00FC693F"/>
    <w:pPr>
      <w:keepNext/>
      <w:keepLines/>
      <w:spacing w:before="300" w:after="12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pPr>
    <w:rPr>
      <w:rFonts w:asciiTheme="majorHAnsi" w:eastAsiaTheme="majorEastAsia" w:hAnsiTheme="majorHAnsi" w:cstheme="majorBidi"/>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40" w:line="278" w:lineRule="auto"/>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NoteTriage Final Project Report</dc:title>
  <dc:subject>PE6201 Emerging AI Technologies final project</dc:subject>
  <dc:creator>Yang Ruijia</dc:creator>
  <cp:keywords/>
  <dc:description>generated by python-docx</dc:description>
  <cp:lastModifiedBy>#YANG RUIJIA#</cp:lastModifiedBy>
  <cp:revision>3</cp:revision>
  <dcterms:created xsi:type="dcterms:W3CDTF">2013-12-23T23:15:00Z</dcterms:created>
  <dcterms:modified xsi:type="dcterms:W3CDTF">2026-10-02T13:23:00Z</dcterms:modified>
  <cp:category/>
</cp:coreProperties>
</file>