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Bağımsız Jammertest 2025 Verisinde GNSS Tutarsızlık İzleyicisinin Değerlendirilmesi</w:t>
      </w:r>
    </w:p>
    <w:p>
      <w:pPr>
        <w:widowControl/>
        <w:spacing w:after="240"/>
      </w:pPr>
      <w:r>
        <w:rPr>
          <w:rFonts w:ascii="Arial" w:hAnsi="Arial"/>
          <w:i w:val="0"/>
          <w:color w:val="1E6D78"/>
          <w:sz w:val="22"/>
        </w:rPr>
        <w:t>2026 TYBS başvuru alanları için düzenlenebilir metin taslağı</w:t>
      </w:r>
    </w:p>
    <w:p>
      <w:pPr>
        <w:widowControl/>
        <w:spacing w:after="160"/>
      </w:pPr>
      <w:r>
        <w:rPr>
          <w:rFonts w:ascii="Arial" w:hAnsi="Arial"/>
          <w:i w:val="0"/>
          <w:sz w:val="18"/>
        </w:rPr>
        <w:t>Kullanım notu: 2026 çağrısında öneri TYBS alanlarına girilir ve sistem tarafından oluşturulur; bu Word dosyası yükleme belgesi değildir. Sağlanan PDF 2024 döneminden ve başka bir projeye aittir. Köşeli parantezli bilgiler, veri erişimi, yöntem ve kaynaklar başvuru sahibi ile danışman tarafından doğrulanmalıdır.</w:t>
      </w:r>
    </w:p>
    <w:p>
      <w:pPr>
        <w:pStyle w:val="Heading1"/>
      </w:pPr>
      <w:r>
        <w:t>Başvuru bilgileri</w:t>
      </w:r>
    </w:p>
    <w:tbl>
      <w:tblPr>
        <w:tblStyle w:val="TableGrid"/>
        <w:tblW w:type="auto" w:w="0"/>
        <w:tblLayout w:type="fixed"/>
        <w:tblLook w:firstColumn="1" w:firstRow="1" w:lastColumn="0" w:lastRow="0" w:noHBand="0" w:noVBand="1" w:val="04A0"/>
      </w:tblPr>
      <w:tblGrid>
        <w:gridCol w:w="5083"/>
        <w:gridCol w:w="5083"/>
      </w:tblGrid>
      <w:tr>
        <w:trPr>
          <w:tblHeader w:val="true"/>
          <w:cantSplit/>
        </w:trPr>
        <w:tc>
          <w:tcPr>
            <w:tcW w:type="dxa" w:w="2232"/>
            <w:vAlign w:val="center"/>
            <w:shd w:fill="17365D"/>
          </w:tcPr>
          <w:p>
            <w:pPr>
              <w:spacing w:after="20" w:line="240" w:lineRule="auto"/>
            </w:pPr>
            <w:r/>
            <w:r>
              <w:rPr>
                <w:rFonts w:ascii="Arial" w:hAnsi="Arial"/>
                <w:b/>
                <w:color w:val="FFFFFF"/>
                <w:sz w:val="16"/>
              </w:rPr>
              <w:t>Alan</w:t>
            </w:r>
          </w:p>
        </w:tc>
        <w:tc>
          <w:tcPr>
            <w:tcW w:type="dxa" w:w="8136"/>
            <w:vAlign w:val="center"/>
            <w:shd w:fill="17365D"/>
          </w:tcPr>
          <w:p>
            <w:pPr>
              <w:spacing w:after="20" w:line="240" w:lineRule="auto"/>
            </w:pPr>
            <w:r/>
            <w:r>
              <w:rPr>
                <w:rFonts w:ascii="Arial" w:hAnsi="Arial"/>
                <w:b/>
                <w:color w:val="FFFFFF"/>
                <w:sz w:val="16"/>
              </w:rPr>
              <w:t>Taslak / tamamlanacak bilgi</w:t>
            </w:r>
          </w:p>
        </w:tc>
      </w:tr>
      <w:tr>
        <w:trPr>
          <w:cantSplit/>
        </w:trPr>
        <w:tc>
          <w:tcPr>
            <w:tcW w:type="dxa" w:w="2232"/>
            <w:vAlign w:val="center"/>
          </w:tcPr>
          <w:p>
            <w:pPr>
              <w:spacing w:after="20" w:line="240" w:lineRule="auto"/>
            </w:pPr>
            <w:r/>
            <w:r>
              <w:rPr>
                <w:rFonts w:ascii="Arial" w:hAnsi="Arial"/>
                <w:b w:val="0"/>
                <w:sz w:val="16"/>
              </w:rPr>
              <w:t>Proje başlığı</w:t>
            </w:r>
          </w:p>
        </w:tc>
        <w:tc>
          <w:tcPr>
            <w:tcW w:type="dxa" w:w="8136"/>
            <w:vAlign w:val="center"/>
          </w:tcPr>
          <w:p>
            <w:pPr>
              <w:spacing w:after="20" w:line="240" w:lineRule="auto"/>
            </w:pPr>
            <w:r/>
            <w:r>
              <w:rPr>
                <w:rFonts w:ascii="Arial" w:hAnsi="Arial"/>
                <w:b w:val="0"/>
                <w:sz w:val="16"/>
              </w:rPr>
              <w:t>Bağımsız Jammertest 2025 Verisinde GNSS Tutarsızlık İzleyicisinin Değerlendirilmesi</w:t>
            </w:r>
          </w:p>
        </w:tc>
      </w:tr>
      <w:tr>
        <w:trPr>
          <w:cantSplit/>
        </w:trPr>
        <w:tc>
          <w:tcPr>
            <w:tcW w:type="dxa" w:w="2232"/>
            <w:vAlign w:val="center"/>
            <w:shd w:fill="F4F7FA"/>
          </w:tcPr>
          <w:p>
            <w:pPr>
              <w:spacing w:after="20" w:line="240" w:lineRule="auto"/>
            </w:pPr>
            <w:r/>
            <w:r>
              <w:rPr>
                <w:rFonts w:ascii="Arial" w:hAnsi="Arial"/>
                <w:b w:val="0"/>
                <w:sz w:val="16"/>
              </w:rPr>
              <w:t>Proje yürütücüsü</w:t>
            </w:r>
          </w:p>
        </w:tc>
        <w:tc>
          <w:tcPr>
            <w:tcW w:type="dxa" w:w="8136"/>
            <w:vAlign w:val="center"/>
            <w:shd w:fill="F4F7FA"/>
          </w:tcPr>
          <w:p>
            <w:pPr>
              <w:spacing w:after="20" w:line="240" w:lineRule="auto"/>
            </w:pPr>
            <w:r/>
            <w:r>
              <w:rPr>
                <w:rFonts w:ascii="Arial" w:hAnsi="Arial"/>
                <w:b w:val="0"/>
                <w:sz w:val="16"/>
              </w:rPr>
              <w:t>[TYBS / ARBİS kayıtlarındaki güncel ad soyad]</w:t>
            </w:r>
          </w:p>
        </w:tc>
      </w:tr>
      <w:tr>
        <w:trPr>
          <w:cantSplit/>
        </w:trPr>
        <w:tc>
          <w:tcPr>
            <w:tcW w:type="dxa" w:w="2232"/>
            <w:vAlign w:val="center"/>
          </w:tcPr>
          <w:p>
            <w:pPr>
              <w:spacing w:after="20" w:line="240" w:lineRule="auto"/>
            </w:pPr>
            <w:r/>
            <w:r>
              <w:rPr>
                <w:rFonts w:ascii="Arial" w:hAnsi="Arial"/>
                <w:b w:val="0"/>
                <w:sz w:val="16"/>
              </w:rPr>
              <w:t>Proje ortakları</w:t>
            </w:r>
          </w:p>
        </w:tc>
        <w:tc>
          <w:tcPr>
            <w:tcW w:type="dxa" w:w="8136"/>
            <w:vAlign w:val="center"/>
          </w:tcPr>
          <w:p>
            <w:pPr>
              <w:spacing w:after="20" w:line="240" w:lineRule="auto"/>
            </w:pPr>
            <w:r/>
            <w:r>
              <w:rPr>
                <w:rFonts w:ascii="Arial" w:hAnsi="Arial"/>
                <w:b w:val="0"/>
                <w:sz w:val="16"/>
              </w:rPr>
              <w:t>[Varsa en fazla dört öğrenci; yoksa bireysel başvuru]</w:t>
            </w:r>
          </w:p>
        </w:tc>
      </w:tr>
      <w:tr>
        <w:trPr>
          <w:cantSplit/>
        </w:trPr>
        <w:tc>
          <w:tcPr>
            <w:tcW w:type="dxa" w:w="2232"/>
            <w:vAlign w:val="center"/>
            <w:shd w:fill="F4F7FA"/>
          </w:tcPr>
          <w:p>
            <w:pPr>
              <w:spacing w:after="20" w:line="240" w:lineRule="auto"/>
            </w:pPr>
            <w:r/>
            <w:r>
              <w:rPr>
                <w:rFonts w:ascii="Arial" w:hAnsi="Arial"/>
                <w:b w:val="0"/>
                <w:sz w:val="16"/>
              </w:rPr>
              <w:t>Akademik danışman</w:t>
            </w:r>
          </w:p>
        </w:tc>
        <w:tc>
          <w:tcPr>
            <w:tcW w:type="dxa" w:w="8136"/>
            <w:vAlign w:val="center"/>
            <w:shd w:fill="F4F7FA"/>
          </w:tcPr>
          <w:p>
            <w:pPr>
              <w:spacing w:after="20" w:line="240" w:lineRule="auto"/>
            </w:pPr>
            <w:r/>
            <w:r>
              <w:rPr>
                <w:rFonts w:ascii="Arial" w:hAnsi="Arial"/>
                <w:b w:val="0"/>
                <w:sz w:val="16"/>
              </w:rPr>
              <w:t>[Güncel YÖKSİS ve ARBİS kaydı doğrulanacak]</w:t>
            </w:r>
          </w:p>
        </w:tc>
      </w:tr>
      <w:tr>
        <w:trPr>
          <w:cantSplit/>
        </w:trPr>
        <w:tc>
          <w:tcPr>
            <w:tcW w:type="dxa" w:w="2232"/>
            <w:vAlign w:val="center"/>
          </w:tcPr>
          <w:p>
            <w:pPr>
              <w:spacing w:after="20" w:line="240" w:lineRule="auto"/>
            </w:pPr>
            <w:r/>
            <w:r>
              <w:rPr>
                <w:rFonts w:ascii="Arial" w:hAnsi="Arial"/>
                <w:b w:val="0"/>
                <w:sz w:val="16"/>
              </w:rPr>
              <w:t>Üniversite ve program</w:t>
            </w:r>
          </w:p>
        </w:tc>
        <w:tc>
          <w:tcPr>
            <w:tcW w:type="dxa" w:w="8136"/>
            <w:vAlign w:val="center"/>
          </w:tcPr>
          <w:p>
            <w:pPr>
              <w:spacing w:after="20" w:line="240" w:lineRule="auto"/>
            </w:pPr>
            <w:r/>
            <w:r>
              <w:rPr>
                <w:rFonts w:ascii="Arial" w:hAnsi="Arial"/>
                <w:b w:val="0"/>
                <w:sz w:val="16"/>
              </w:rPr>
              <w:t>[Yürütücünün kayıtlı olduğu üniversite, fakülte ve program]</w:t>
            </w:r>
          </w:p>
        </w:tc>
      </w:tr>
      <w:tr>
        <w:trPr>
          <w:cantSplit/>
        </w:trPr>
        <w:tc>
          <w:tcPr>
            <w:tcW w:type="dxa" w:w="2232"/>
            <w:vAlign w:val="center"/>
            <w:shd w:fill="F4F7FA"/>
          </w:tcPr>
          <w:p>
            <w:pPr>
              <w:spacing w:after="20" w:line="240" w:lineRule="auto"/>
            </w:pPr>
            <w:r/>
            <w:r>
              <w:rPr>
                <w:rFonts w:ascii="Arial" w:hAnsi="Arial"/>
                <w:b w:val="0"/>
                <w:sz w:val="16"/>
              </w:rPr>
              <w:t>Bilimsel alan</w:t>
            </w:r>
          </w:p>
        </w:tc>
        <w:tc>
          <w:tcPr>
            <w:tcW w:type="dxa" w:w="8136"/>
            <w:vAlign w:val="center"/>
            <w:shd w:fill="F4F7FA"/>
          </w:tcPr>
          <w:p>
            <w:pPr>
              <w:spacing w:after="20" w:line="240" w:lineRule="auto"/>
            </w:pPr>
            <w:r/>
            <w:r>
              <w:rPr>
                <w:rFonts w:ascii="Arial" w:hAnsi="Arial"/>
                <w:b w:val="0"/>
                <w:sz w:val="16"/>
              </w:rPr>
              <w:t>[TYBS sınıflandırmasından danışmanla birlikte seçilecek]</w:t>
            </w:r>
          </w:p>
        </w:tc>
      </w:tr>
      <w:tr>
        <w:trPr>
          <w:cantSplit/>
        </w:trPr>
        <w:tc>
          <w:tcPr>
            <w:tcW w:type="dxa" w:w="2232"/>
            <w:vAlign w:val="center"/>
          </w:tcPr>
          <w:p>
            <w:pPr>
              <w:spacing w:after="20" w:line="240" w:lineRule="auto"/>
            </w:pPr>
            <w:r/>
            <w:r>
              <w:rPr>
                <w:rFonts w:ascii="Arial" w:hAnsi="Arial"/>
                <w:b w:val="0"/>
                <w:sz w:val="16"/>
              </w:rPr>
              <w:t>Proje süresi</w:t>
            </w:r>
          </w:p>
        </w:tc>
        <w:tc>
          <w:tcPr>
            <w:tcW w:type="dxa" w:w="8136"/>
            <w:vAlign w:val="center"/>
          </w:tcPr>
          <w:p>
            <w:pPr>
              <w:spacing w:after="20" w:line="240" w:lineRule="auto"/>
            </w:pPr>
            <w:r/>
            <w:r>
              <w:rPr>
                <w:rFonts w:ascii="Arial" w:hAnsi="Arial"/>
                <w:b w:val="0"/>
                <w:sz w:val="16"/>
              </w:rPr>
              <w:t>12 ay; başlangıç tarihi destek kararı ve TYBS takvimi doğrultusunda belirlenecek</w:t>
            </w:r>
          </w:p>
        </w:tc>
      </w:tr>
      <w:tr>
        <w:trPr>
          <w:cantSplit/>
        </w:trPr>
        <w:tc>
          <w:tcPr>
            <w:tcW w:type="dxa" w:w="2232"/>
            <w:vAlign w:val="center"/>
            <w:shd w:fill="F4F7FA"/>
          </w:tcPr>
          <w:p>
            <w:pPr>
              <w:spacing w:after="20" w:line="240" w:lineRule="auto"/>
            </w:pPr>
            <w:r/>
            <w:r>
              <w:rPr>
                <w:rFonts w:ascii="Arial" w:hAnsi="Arial"/>
                <w:b w:val="0"/>
                <w:sz w:val="16"/>
              </w:rPr>
              <w:t>Anahtar kelimeler</w:t>
            </w:r>
          </w:p>
        </w:tc>
        <w:tc>
          <w:tcPr>
            <w:tcW w:type="dxa" w:w="8136"/>
            <w:vAlign w:val="center"/>
            <w:shd w:fill="F4F7FA"/>
          </w:tcPr>
          <w:p>
            <w:pPr>
              <w:spacing w:after="20" w:line="240" w:lineRule="auto"/>
            </w:pPr>
            <w:r/>
            <w:r>
              <w:rPr>
                <w:rFonts w:ascii="Arial" w:hAnsi="Arial"/>
                <w:b w:val="0"/>
                <w:sz w:val="16"/>
              </w:rPr>
              <w:t>GNSS; Jammertest 2025; bağımsız değerlendirme; Septentrio PolaRx5; spoofing; jamming</w:t>
            </w:r>
          </w:p>
        </w:tc>
      </w:tr>
    </w:tbl>
    <w:p>
      <w:pPr>
        <w:spacing w:after="20"/>
      </w:pPr>
    </w:p>
    <w:p>
      <w:pPr>
        <w:pStyle w:val="Heading1"/>
      </w:pPr>
      <w:r>
        <w:t>Özet</w:t>
      </w:r>
    </w:p>
    <w:p>
      <w:pPr>
        <w:keepLines/>
        <w:widowControl/>
      </w:pPr>
      <w:r>
        <w:rPr>
          <w:rFonts w:ascii="Arial" w:hAnsi="Arial"/>
          <w:i w:val="0"/>
        </w:rPr>
        <w:t>Bu araştırma, mevcut GNSS ölçüm tutarlılığı izleme prototipinin daha önce geliştirme ve eşik ayarında kullanılmamış Jammertest 2025 kayıtlarına aktarılabilirliğini inceleyecektir. Veri kataloğu kayıtları Septentrio PolaRx5 alıcısından SBF/RINEX ölçümleri ve girişim senaryosu yer gerçeği içerdiğini bildiriyor; ancak dosya erişimi ve yerel şema doğrulaması henüz tamamlanmadı. Bu nedenle önce belirli veri sürümü, lisans, dosyalar, saat eşlemesi ve gözlenebilir alanlar doğrulanacak, test dosyaları açılmadan kod, model, profil, eşikler ve analiz protokolü dondurulacaktır. SBF veya RINEX kayıtları sürümlü adaptörle ortak şemaya aktarılacak; ölçüm kaybı, birim dönüşümü ve geçersiz örnekler kaydedilecek, kaynakta bulunmayan alanlar üretilmeyecektir. Saldırı etiketleri yalnızca çıkarım sonrası uygulanarak jamming ve spoofing olayları için olay düzeyinde yeni alarm, kaçırılan olay ve ilk alarm gecikmesi hesaplanacaktır. Yanlış alarm yalnızca yer gerçeğinde açıkça temiz/normal olarak tanımlanmış süre bulunursa raporlanacaktır. Mevcut TEXBAT ve Jammertest 2024 kayıtları geliştirme sürecinde incelendiği için bağımsız test sayılmayacaktır. 2025 dosyaları edinilemez veya gerekli alanları içermezse bağımsız performans iddiası kurulmayacak; kısıt, sonuç ve B planı açıkça raporlanacaktır.</w:t>
      </w:r>
    </w:p>
    <w:p>
      <w:pPr>
        <w:widowControl/>
      </w:pPr>
      <w:r>
        <w:rPr>
          <w:rFonts w:ascii="Arial" w:hAnsi="Arial"/>
          <w:i/>
          <w:color w:val="5B6573"/>
          <w:sz w:val="16"/>
        </w:rPr>
        <w:t>Özet uzunluğu: 155 kelime (2026 çağrısı: 25-450 kelime).</w:t>
      </w:r>
    </w:p>
    <w:p>
      <w:pPr>
        <w:pStyle w:val="Heading1"/>
      </w:pPr>
      <w:r>
        <w:t>1 Araştırma önerisinin bilimsel niteliği</w:t>
      </w:r>
    </w:p>
    <w:p>
      <w:pPr>
        <w:pStyle w:val="Heading2"/>
      </w:pPr>
      <w:r>
        <w:t>1.1 Konunun önemi ve bilimsel niteliği</w:t>
      </w:r>
    </w:p>
    <w:p>
      <w:pPr>
        <w:spacing w:after="40"/>
      </w:pPr>
      <w:r>
        <w:rPr>
          <w:rFonts w:ascii="Arial" w:hAnsi="Arial"/>
          <w:i/>
          <w:color w:val="5B6573"/>
          <w:sz w:val="16"/>
        </w:rPr>
        <w:t>TYBS metni (1,541 karakter; asgari 350)</w:t>
      </w:r>
    </w:p>
    <w:p>
      <w:pPr>
        <w:keepLines/>
        <w:widowControl/>
      </w:pPr>
      <w:r>
        <w:rPr>
          <w:rFonts w:ascii="Arial" w:hAnsi="Arial"/>
          <w:i w:val="0"/>
        </w:rPr>
        <w:t>GNSS spoofing, alıcının yanlış fakat makul görünen ölçümlere yönelmesine; jamming ise sinyal hizmetinin bozulmasına yol açabilir ve iki tehdit ayrı değerlendirilmelidir. Literatür, tespit performansının alıcıda erişilebilen sinyal/ölçüm özelliklerine ve alıcıya özgü kalibrasyona bağlı olduğunu; yanlış alarm sınırının açık tanımlanması gerektiğini gösterir [1, 2]. Code-minus-carrier ölçütleri yardımcı olabilir, ancak multipath ve iyonosferden de etkilendiğinden tek başına saldırı kanıtı değildir [3, 4]. Bu nedenle bir kayıt üzerinde ayarlanan prototipin farklı alıcı ve veri biçiminde aynı davranışı göstereceği varsayılamaz. Etsin kataloğu, FGI Jammertest 2025 veri kümesini Septentrio PolaRx5 alıcı kayıtları, SBF/RINEX biçimleri ve senaryo yer gerçeğiyle tanımlar [7]. Prototipin mevcut değerlendirmeleri TEXBAT işlenmiş GRID ölçümleri, Jammertest 2024 ve başka kaynaklarla sınırlıdır; bunlar geliştirme sürecinde incelendiğinden bağımsız test değildir. Bununla birlikte 2025 kümesinin dosyaları henüz alınarak incelenmedi ve uygulamanın SBF/RINEX desteği doğrulanmadı. Araştırma sorusu şudur: “Önceden dondurulmuş GNSS tutarsızlık izleme prototipi, daha önce kullanılmamış Jammertest 2025 PolaRx5 kayıtlarında etiketli jamming ve spoofing olaylarını hangi kapsam ve gecikmeyle belirler; açıkça temiz etiketlenmiş süre varsa ne sıklıkta alarm üretir?” Çalışma yeni bir evrensel tespit yöntemi iddia etmeyecek; veri erişimi, gözlenebilir alanlar, uyarlama ve olay düzeyindeki performans sınırlarını tekrarlanabilir biçimde ölçecektir.</w:t>
      </w:r>
    </w:p>
    <w:p>
      <w:pPr>
        <w:pStyle w:val="Heading2"/>
      </w:pPr>
      <w:r>
        <w:t>1.2 Amaç ve hedefler</w:t>
      </w:r>
    </w:p>
    <w:p>
      <w:pPr>
        <w:spacing w:after="40"/>
      </w:pPr>
      <w:r>
        <w:rPr>
          <w:rFonts w:ascii="Arial" w:hAnsi="Arial"/>
          <w:i/>
          <w:color w:val="5B6573"/>
          <w:sz w:val="16"/>
        </w:rPr>
        <w:t>TYBS metni (1,107 karakter; asgari 350)</w:t>
      </w:r>
    </w:p>
    <w:p>
      <w:pPr>
        <w:keepLines/>
        <w:widowControl/>
      </w:pPr>
      <w:r>
        <w:rPr>
          <w:rFonts w:ascii="Arial" w:hAnsi="Arial"/>
          <w:i w:val="0"/>
        </w:rPr>
        <w:t>Projenin amacı, geliştirme verilerinden ayrı Jammertest 2025 PolaRx5 kayıtlarında mevcut GNSS tutarsızlık izleme prototipinin sıfır-atış aktarım performansını ölçmek ve kapsam sınırlarını raporlamaktır. İlk hedef, veri kataloğundaki sürüm, indirme izni, lisans, dosya listesi, yer gerçeği ve olay saatlerini doğrulayıp SHA-256 manifesti hazırlamaktır. İkinci hedef, veri dosyasında bulunduğu doğrulanan SBF veya RINEX alanlarını zaman ve birim bilgilerini koruyarak ortak şemaya aktaran, testlerle doğrulanmış bir adaptör geliştirmektir. Üçüncü hedef, prototip sürümünü, yapılandırmayı, profilleri, eşikleri ve metrikleri saldırı kayıtları açılmadan dondurup testi yeniden ayarlama yapmadan çalıştırmaktır. Dördüncü hedef, jamming ve spoofing olaylarını ayrı raporlayarak olay düzeyinde yeni alarm, kaçırma ve gecikmeyi hesaplamaktır; yanlış alarm oranı yalnızca yer gerçeğinde açıkça temiz olduğu belirtilen zamanlar varsa verilecektir. Başarı, yüksek tespit oranı vaat etmek değil; kilitli bağımsız değerlendirmeyi, veri/özellik kapsamını ve başarısız sonuçları yeniden üretilebilir biçimde raporlamaktır.</w:t>
      </w:r>
    </w:p>
    <w:p>
      <w:pPr>
        <w:pStyle w:val="Heading1"/>
      </w:pPr>
      <w:r>
        <w:t>2 Yöntem</w:t>
      </w:r>
    </w:p>
    <w:p>
      <w:pPr>
        <w:pStyle w:val="Heading2"/>
      </w:pPr>
      <w:r>
        <w:t>Yöntem</w:t>
      </w:r>
    </w:p>
    <w:p>
      <w:pPr>
        <w:spacing w:after="40"/>
      </w:pPr>
      <w:r>
        <w:rPr>
          <w:rFonts w:ascii="Arial" w:hAnsi="Arial"/>
          <w:i/>
          <w:color w:val="5B6573"/>
          <w:sz w:val="16"/>
        </w:rPr>
        <w:t>TYBS metni (1,448 karakter; asgari 350)</w:t>
      </w:r>
    </w:p>
    <w:p>
      <w:pPr>
        <w:keepLines/>
        <w:widowControl/>
      </w:pPr>
      <w:r>
        <w:rPr>
          <w:rFonts w:ascii="Arial" w:hAnsi="Arial"/>
          <w:i w:val="0"/>
        </w:rPr>
        <w:t>Araştırma, önceden geliştirme ve ayar süreçlerinde kullanılmamış Jammertest 2025 PolaRx5 kayıtlarında yapılacak, kayıt temelli sıfır-atış değerlendirmedir. Önce katalog sürümü, indirme erişimi, lisans, dosya listesi, yayınlanmış biçim açıklaması ve olay saatlerinin tanımı doğrulanır; dosyalar edinilebilirse bayt düzeyinde SHA-256 manifesti çıkarılır. SBF/RINEX dönüştürücüsü yalnızca yayınlanmış alan sözleşmesi ve yapay test örnekleriyle hazırlanır. Gerçek test ölçümleri veya saldırı etiketleri çözülmeden prototip kodu, model dosyaları, mevcut profil, eşikler, yapılandırma, adaptör ve analiz protokolü SHA-256 ile dondurulur. Sonra ölçümler ortak şemaya aktarılır; zaman birimleri, epoch atlamaları, geçersiz fix ve eksik alanlar korunur. Olmayan C/N0, pseudorange, taşıyıcı fazı veya temiz etiket türetilmez. Jamming ve spoofing etiketleri yalnızca dondurulmuş çıkarım tamamlandıktan sonra uygulanır ve ayrı raporlanır; temel çıktılar olay başına yeni alarm, kaçırılan olay sayısı ve ilk yeni alarm gecikmesidir. Alarmın olay başında zaten etkin olması yeni tespit sayılmaz. Gecikme için olay saati belirsizliği ve kaydın sonuna kadar tespit edilmeyen olaylar gösterilir. Yanlış alarm/saat yalnızca veri sağlayıcının yer gerçeğinde açıkça temiz/normal olarak işaretlediği sürelerde hesaplanır; böyle süre yoksa bu metrik verilmez. Dönüştürme veya erişim başarısızsa performans sonucu üretilmez; bu durum ve sınırlı B planı raporlanır [2, 7].</w:t>
      </w:r>
    </w:p>
    <w:p>
      <w:pPr>
        <w:pStyle w:val="Heading2"/>
        <w:widowControl/>
      </w:pPr>
      <w:r>
        <w:rPr>
          <w:rFonts w:ascii="Arial" w:hAnsi="Arial"/>
          <w:i w:val="0"/>
        </w:rPr>
        <w:t>Ön çalışma ve yöntem sınırı</w:t>
      </w:r>
    </w:p>
    <w:p>
      <w:pPr>
        <w:widowControl/>
      </w:pPr>
      <w:r>
        <w:rPr>
          <w:rFonts w:ascii="Arial" w:hAnsi="Arial"/>
          <w:i w:val="0"/>
        </w:rPr>
        <w:t>Mevcut raporlardaki ön çalışma ölçümleri başvuruya bağımsız başarı iddiası olarak taşınmamıştır. Jammertest 2024 replay'inde 33 kayıtlı olayın 12'sinde saldırı başlangıcından sonra yeni alarm kenarı oluşmuş; bu olaylarda ortanca gecikme 428,3 saniye ölçülmüştür [8]. Veri sağlayıcının olay dışı aralıkları sertifikalı temiz olmadığından yanlış alarm oranı hesaplanmamıştır. TEXBAT güncel replay'inde DS2 kapsamı %99,77 ve ilk yeni alarm gecikmesi 0,90 saniye; DS7 kapsamı %98,49 ve gecikme 5,60 saniyedir [5, 6]. DS3'te alarm saldırı başlangıcında zaten etkin olduğundan yeni alarm gecikmesi ölçülememiştir. Bu kayıtların profili/parametreleri geliştirme sürecinde incelendiğinden sonuçlar aynı benchmark için keşifseldir ve bağımsız test değildir. Proje öncesinde bu raporlarla ölçüm ve kod sürümü danışmanla tekrar doğrulanacaktır.</w:t>
      </w:r>
    </w:p>
    <w:p>
      <w:pPr>
        <w:pStyle w:val="Heading1"/>
      </w:pPr>
      <w:r>
        <w:t>3 Proje yönetimi</w:t>
      </w:r>
    </w:p>
    <w:p>
      <w:pPr>
        <w:pStyle w:val="Heading2"/>
      </w:pPr>
      <w:r>
        <w:t>3.1 Çalışma takvimi</w:t>
      </w:r>
    </w:p>
    <w:p>
      <w:pPr>
        <w:widowControl/>
      </w:pPr>
      <w:r>
        <w:rPr>
          <w:rFonts w:ascii="Arial" w:hAnsi="Arial"/>
          <w:i w:val="0"/>
          <w:sz w:val="18"/>
        </w:rPr>
        <w:t>İş paketlerinin başarı ağırlıkları toplamı %100'dür. Aylar destek kararını izleyen proje başlangıcına göre planlanmıştır.</w:t>
      </w:r>
    </w:p>
    <w:tbl>
      <w:tblPr>
        <w:tblStyle w:val="TableGrid"/>
        <w:tblW w:type="auto" w:w="0"/>
        <w:tblLayout w:type="fixed"/>
        <w:tblLook w:firstColumn="1" w:firstRow="1" w:lastColumn="0" w:lastRow="0" w:noHBand="0" w:noVBand="1" w:val="04A0"/>
      </w:tblPr>
      <w:tblGrid>
        <w:gridCol w:w="2541"/>
        <w:gridCol w:w="2541"/>
        <w:gridCol w:w="2541"/>
        <w:gridCol w:w="2541"/>
      </w:tblGrid>
      <w:tr>
        <w:trPr>
          <w:tblHeader w:val="true"/>
          <w:cantSplit/>
        </w:trPr>
        <w:tc>
          <w:tcPr>
            <w:tcW w:type="dxa" w:w="2088"/>
            <w:vAlign w:val="center"/>
            <w:shd w:fill="17365D"/>
          </w:tcPr>
          <w:p>
            <w:pPr>
              <w:spacing w:after="20" w:line="240" w:lineRule="auto"/>
            </w:pPr>
            <w:r/>
            <w:r>
              <w:rPr>
                <w:rFonts w:ascii="Arial" w:hAnsi="Arial"/>
                <w:b/>
                <w:color w:val="FFFFFF"/>
                <w:sz w:val="15"/>
              </w:rPr>
              <w:t>İş adımı</w:t>
            </w:r>
          </w:p>
        </w:tc>
        <w:tc>
          <w:tcPr>
            <w:tcW w:type="dxa" w:w="1037"/>
            <w:vAlign w:val="center"/>
            <w:shd w:fill="17365D"/>
          </w:tcPr>
          <w:p>
            <w:pPr>
              <w:spacing w:after="20" w:line="240" w:lineRule="auto"/>
            </w:pPr>
            <w:r/>
            <w:r>
              <w:rPr>
                <w:rFonts w:ascii="Arial" w:hAnsi="Arial"/>
                <w:b/>
                <w:color w:val="FFFFFF"/>
                <w:sz w:val="15"/>
              </w:rPr>
              <w:t>Süre</w:t>
            </w:r>
          </w:p>
        </w:tc>
        <w:tc>
          <w:tcPr>
            <w:tcW w:type="dxa" w:w="6307"/>
            <w:vAlign w:val="center"/>
            <w:shd w:fill="17365D"/>
          </w:tcPr>
          <w:p>
            <w:pPr>
              <w:spacing w:after="20" w:line="240" w:lineRule="auto"/>
            </w:pPr>
            <w:r/>
            <w:r>
              <w:rPr>
                <w:rFonts w:ascii="Arial" w:hAnsi="Arial"/>
                <w:b/>
                <w:color w:val="FFFFFF"/>
                <w:sz w:val="15"/>
              </w:rPr>
              <w:t>Başarı ölçütü ve doğrulama</w:t>
            </w:r>
          </w:p>
        </w:tc>
        <w:tc>
          <w:tcPr>
            <w:tcW w:type="dxa" w:w="691"/>
            <w:vAlign w:val="center"/>
            <w:shd w:fill="17365D"/>
          </w:tcPr>
          <w:p>
            <w:pPr>
              <w:spacing w:after="20" w:line="240" w:lineRule="auto"/>
            </w:pPr>
            <w:r/>
            <w:r>
              <w:rPr>
                <w:rFonts w:ascii="Arial" w:hAnsi="Arial"/>
                <w:b/>
                <w:color w:val="FFFFFF"/>
                <w:sz w:val="15"/>
              </w:rPr>
              <w:t>Ağırlık</w:t>
            </w:r>
          </w:p>
        </w:tc>
      </w:tr>
      <w:tr>
        <w:trPr>
          <w:cantSplit/>
        </w:trPr>
        <w:tc>
          <w:tcPr>
            <w:tcW w:type="dxa" w:w="2088"/>
            <w:vAlign w:val="center"/>
          </w:tcPr>
          <w:p>
            <w:pPr>
              <w:spacing w:after="20" w:line="240" w:lineRule="auto"/>
            </w:pPr>
            <w:r/>
            <w:r>
              <w:rPr>
                <w:rFonts w:ascii="Arial" w:hAnsi="Arial"/>
                <w:b w:val="0"/>
                <w:sz w:val="15"/>
              </w:rPr>
              <w:t>1. Erişim ve test protokolünü dondurma</w:t>
            </w:r>
          </w:p>
        </w:tc>
        <w:tc>
          <w:tcPr>
            <w:tcW w:type="dxa" w:w="1037"/>
            <w:vAlign w:val="center"/>
          </w:tcPr>
          <w:p>
            <w:pPr>
              <w:spacing w:after="20" w:line="240" w:lineRule="auto"/>
            </w:pPr>
            <w:r/>
            <w:r>
              <w:rPr>
                <w:rFonts w:ascii="Arial" w:hAnsi="Arial"/>
                <w:b w:val="0"/>
                <w:sz w:val="15"/>
              </w:rPr>
              <w:t>Ay 1-2</w:t>
            </w:r>
          </w:p>
        </w:tc>
        <w:tc>
          <w:tcPr>
            <w:tcW w:type="dxa" w:w="6307"/>
            <w:vAlign w:val="center"/>
          </w:tcPr>
          <w:p>
            <w:pPr>
              <w:spacing w:after="20" w:line="240" w:lineRule="auto"/>
            </w:pPr>
            <w:r/>
            <w:r>
              <w:rPr>
                <w:rFonts w:ascii="Arial" w:hAnsi="Arial"/>
                <w:b w:val="0"/>
                <w:sz w:val="15"/>
              </w:rPr>
              <w:t>FGI Jammertest 2025 dosya erişimi, lisans, sürüm, SHA-256 ve yer gerçeği doğrulanır. Erişim sağlanamazsa analiz başlamaz ve durum danışmanla yeniden kapsamlandırılır.</w:t>
            </w:r>
          </w:p>
        </w:tc>
        <w:tc>
          <w:tcPr>
            <w:tcW w:type="dxa" w:w="691"/>
            <w:vAlign w:val="center"/>
          </w:tcPr>
          <w:p>
            <w:pPr>
              <w:spacing w:after="20" w:line="240" w:lineRule="auto"/>
            </w:pPr>
            <w:r/>
            <w:r>
              <w:rPr>
                <w:rFonts w:ascii="Arial" w:hAnsi="Arial"/>
                <w:b w:val="0"/>
                <w:sz w:val="15"/>
              </w:rPr>
              <w:t>%15</w:t>
            </w:r>
          </w:p>
        </w:tc>
      </w:tr>
      <w:tr>
        <w:trPr>
          <w:cantSplit/>
        </w:trPr>
        <w:tc>
          <w:tcPr>
            <w:tcW w:type="dxa" w:w="2088"/>
            <w:vAlign w:val="center"/>
            <w:shd w:fill="F4F7FA"/>
          </w:tcPr>
          <w:p>
            <w:pPr>
              <w:spacing w:after="20" w:line="240" w:lineRule="auto"/>
            </w:pPr>
            <w:r/>
            <w:r>
              <w:rPr>
                <w:rFonts w:ascii="Arial" w:hAnsi="Arial"/>
                <w:b w:val="0"/>
                <w:sz w:val="15"/>
              </w:rPr>
              <w:t>2. SBF/RINEX adaptörü ve kalite kontrolü</w:t>
            </w:r>
          </w:p>
        </w:tc>
        <w:tc>
          <w:tcPr>
            <w:tcW w:type="dxa" w:w="1037"/>
            <w:vAlign w:val="center"/>
            <w:shd w:fill="F4F7FA"/>
          </w:tcPr>
          <w:p>
            <w:pPr>
              <w:spacing w:after="20" w:line="240" w:lineRule="auto"/>
            </w:pPr>
            <w:r/>
            <w:r>
              <w:rPr>
                <w:rFonts w:ascii="Arial" w:hAnsi="Arial"/>
                <w:b w:val="0"/>
                <w:sz w:val="15"/>
              </w:rPr>
              <w:t>Ay 2-4</w:t>
            </w:r>
          </w:p>
        </w:tc>
        <w:tc>
          <w:tcPr>
            <w:tcW w:type="dxa" w:w="6307"/>
            <w:vAlign w:val="center"/>
            <w:shd w:fill="F4F7FA"/>
          </w:tcPr>
          <w:p>
            <w:pPr>
              <w:spacing w:after="20" w:line="240" w:lineRule="auto"/>
            </w:pPr>
            <w:r/>
            <w:r>
              <w:rPr>
                <w:rFonts w:ascii="Arial" w:hAnsi="Arial"/>
                <w:b w:val="0"/>
                <w:sz w:val="15"/>
              </w:rPr>
              <w:t>Erişilebilir kaynak biçimi ortak gözlem şemasına aktarılır. Saat, birim, eksik alan ve fix/epoch kalite testleri geçer; dönüşüm kayıpları sayılır.</w:t>
            </w:r>
          </w:p>
        </w:tc>
        <w:tc>
          <w:tcPr>
            <w:tcW w:type="dxa" w:w="691"/>
            <w:vAlign w:val="center"/>
            <w:shd w:fill="F4F7FA"/>
          </w:tcPr>
          <w:p>
            <w:pPr>
              <w:spacing w:after="20" w:line="240" w:lineRule="auto"/>
            </w:pPr>
            <w:r/>
            <w:r>
              <w:rPr>
                <w:rFonts w:ascii="Arial" w:hAnsi="Arial"/>
                <w:b w:val="0"/>
                <w:sz w:val="15"/>
              </w:rPr>
              <w:t>%25</w:t>
            </w:r>
          </w:p>
        </w:tc>
      </w:tr>
      <w:tr>
        <w:trPr>
          <w:cantSplit/>
        </w:trPr>
        <w:tc>
          <w:tcPr>
            <w:tcW w:type="dxa" w:w="2088"/>
            <w:vAlign w:val="center"/>
          </w:tcPr>
          <w:p>
            <w:pPr>
              <w:spacing w:after="20" w:line="240" w:lineRule="auto"/>
            </w:pPr>
            <w:r/>
            <w:r>
              <w:rPr>
                <w:rFonts w:ascii="Arial" w:hAnsi="Arial"/>
                <w:b w:val="0"/>
                <w:sz w:val="15"/>
              </w:rPr>
              <w:t>3. Prototip ve analiz protokolünü kilitleme</w:t>
            </w:r>
          </w:p>
        </w:tc>
        <w:tc>
          <w:tcPr>
            <w:tcW w:type="dxa" w:w="1037"/>
            <w:vAlign w:val="center"/>
          </w:tcPr>
          <w:p>
            <w:pPr>
              <w:spacing w:after="20" w:line="240" w:lineRule="auto"/>
            </w:pPr>
            <w:r/>
            <w:r>
              <w:rPr>
                <w:rFonts w:ascii="Arial" w:hAnsi="Arial"/>
                <w:b w:val="0"/>
                <w:sz w:val="15"/>
              </w:rPr>
              <w:t>Ay 4-5</w:t>
            </w:r>
          </w:p>
        </w:tc>
        <w:tc>
          <w:tcPr>
            <w:tcW w:type="dxa" w:w="6307"/>
            <w:vAlign w:val="center"/>
          </w:tcPr>
          <w:p>
            <w:pPr>
              <w:spacing w:after="20" w:line="240" w:lineRule="auto"/>
            </w:pPr>
            <w:r/>
            <w:r>
              <w:rPr>
                <w:rFonts w:ascii="Arial" w:hAnsi="Arial"/>
                <w:b w:val="0"/>
                <w:sz w:val="15"/>
              </w:rPr>
              <w:t>Kod, model, mevcut alıcı profili, eşikler ve metrikler SHA-256 manifestiyle saldırı sonuçları açılmadan dondurulur; test verisinden ayar yapılmaz.</w:t>
            </w:r>
          </w:p>
        </w:tc>
        <w:tc>
          <w:tcPr>
            <w:tcW w:type="dxa" w:w="691"/>
            <w:vAlign w:val="center"/>
          </w:tcPr>
          <w:p>
            <w:pPr>
              <w:spacing w:after="20" w:line="240" w:lineRule="auto"/>
            </w:pPr>
            <w:r/>
            <w:r>
              <w:rPr>
                <w:rFonts w:ascii="Arial" w:hAnsi="Arial"/>
                <w:b w:val="0"/>
                <w:sz w:val="15"/>
              </w:rPr>
              <w:t>%15</w:t>
            </w:r>
          </w:p>
        </w:tc>
      </w:tr>
      <w:tr>
        <w:trPr>
          <w:cantSplit/>
        </w:trPr>
        <w:tc>
          <w:tcPr>
            <w:tcW w:type="dxa" w:w="2088"/>
            <w:vAlign w:val="center"/>
            <w:shd w:fill="F4F7FA"/>
          </w:tcPr>
          <w:p>
            <w:pPr>
              <w:spacing w:after="20" w:line="240" w:lineRule="auto"/>
            </w:pPr>
            <w:r/>
            <w:r>
              <w:rPr>
                <w:rFonts w:ascii="Arial" w:hAnsi="Arial"/>
                <w:b w:val="0"/>
                <w:sz w:val="15"/>
              </w:rPr>
              <w:t>4. Bağımsız olay değerlendirmesi</w:t>
            </w:r>
          </w:p>
        </w:tc>
        <w:tc>
          <w:tcPr>
            <w:tcW w:type="dxa" w:w="1037"/>
            <w:vAlign w:val="center"/>
            <w:shd w:fill="F4F7FA"/>
          </w:tcPr>
          <w:p>
            <w:pPr>
              <w:spacing w:after="20" w:line="240" w:lineRule="auto"/>
            </w:pPr>
            <w:r/>
            <w:r>
              <w:rPr>
                <w:rFonts w:ascii="Arial" w:hAnsi="Arial"/>
                <w:b w:val="0"/>
                <w:sz w:val="15"/>
              </w:rPr>
              <w:t>Ay 6-9</w:t>
            </w:r>
          </w:p>
        </w:tc>
        <w:tc>
          <w:tcPr>
            <w:tcW w:type="dxa" w:w="6307"/>
            <w:vAlign w:val="center"/>
            <w:shd w:fill="F4F7FA"/>
          </w:tcPr>
          <w:p>
            <w:pPr>
              <w:spacing w:after="20" w:line="240" w:lineRule="auto"/>
            </w:pPr>
            <w:r/>
            <w:r>
              <w:rPr>
                <w:rFonts w:ascii="Arial" w:hAnsi="Arial"/>
                <w:b w:val="0"/>
                <w:sz w:val="15"/>
              </w:rPr>
              <w:t>Jamming ve spoofing etiketleri çıkarım sonrası uygulanır. Olay düzeyinde yeni alarm, kaçırma ve gecikme raporlanır; yanlış alarm yalnız doğrulanmış temiz süre varsa hesaplanır.</w:t>
            </w:r>
          </w:p>
        </w:tc>
        <w:tc>
          <w:tcPr>
            <w:tcW w:type="dxa" w:w="691"/>
            <w:vAlign w:val="center"/>
            <w:shd w:fill="F4F7FA"/>
          </w:tcPr>
          <w:p>
            <w:pPr>
              <w:spacing w:after="20" w:line="240" w:lineRule="auto"/>
            </w:pPr>
            <w:r/>
            <w:r>
              <w:rPr>
                <w:rFonts w:ascii="Arial" w:hAnsi="Arial"/>
                <w:b w:val="0"/>
                <w:sz w:val="15"/>
              </w:rPr>
              <w:t>%30</w:t>
            </w:r>
          </w:p>
        </w:tc>
      </w:tr>
      <w:tr>
        <w:trPr>
          <w:cantSplit/>
        </w:trPr>
        <w:tc>
          <w:tcPr>
            <w:tcW w:type="dxa" w:w="2088"/>
            <w:vAlign w:val="center"/>
          </w:tcPr>
          <w:p>
            <w:pPr>
              <w:spacing w:after="20" w:line="240" w:lineRule="auto"/>
            </w:pPr>
            <w:r/>
            <w:r>
              <w:rPr>
                <w:rFonts w:ascii="Arial" w:hAnsi="Arial"/>
                <w:b w:val="0"/>
                <w:sz w:val="15"/>
              </w:rPr>
              <w:t>5. Tekrarlanabilir analiz ve rapor</w:t>
            </w:r>
          </w:p>
        </w:tc>
        <w:tc>
          <w:tcPr>
            <w:tcW w:type="dxa" w:w="1037"/>
            <w:vAlign w:val="center"/>
          </w:tcPr>
          <w:p>
            <w:pPr>
              <w:spacing w:after="20" w:line="240" w:lineRule="auto"/>
            </w:pPr>
            <w:r/>
            <w:r>
              <w:rPr>
                <w:rFonts w:ascii="Arial" w:hAnsi="Arial"/>
                <w:b w:val="0"/>
                <w:sz w:val="15"/>
              </w:rPr>
              <w:t>Ay 10-12</w:t>
            </w:r>
          </w:p>
        </w:tc>
        <w:tc>
          <w:tcPr>
            <w:tcW w:type="dxa" w:w="6307"/>
            <w:vAlign w:val="center"/>
          </w:tcPr>
          <w:p>
            <w:pPr>
              <w:spacing w:after="20" w:line="240" w:lineRule="auto"/>
            </w:pPr>
            <w:r/>
            <w:r>
              <w:rPr>
                <w:rFonts w:ascii="Arial" w:hAnsi="Arial"/>
                <w:b w:val="0"/>
                <w:sz w:val="15"/>
              </w:rPr>
              <w:t>Sürüm, yapılandırma, manifest ve sonuç tablolarıyla analizi yeniden üreten betikler tamamlanır; bulgular ve veri/alıcının sınırları raporlanır.</w:t>
            </w:r>
          </w:p>
        </w:tc>
        <w:tc>
          <w:tcPr>
            <w:tcW w:type="dxa" w:w="691"/>
            <w:vAlign w:val="center"/>
          </w:tcPr>
          <w:p>
            <w:pPr>
              <w:spacing w:after="20" w:line="240" w:lineRule="auto"/>
            </w:pPr>
            <w:r/>
            <w:r>
              <w:rPr>
                <w:rFonts w:ascii="Arial" w:hAnsi="Arial"/>
                <w:b w:val="0"/>
                <w:sz w:val="15"/>
              </w:rPr>
              <w:t>%15</w:t>
            </w:r>
          </w:p>
        </w:tc>
      </w:tr>
    </w:tbl>
    <w:p>
      <w:pPr>
        <w:spacing w:after="20"/>
      </w:pPr>
    </w:p>
    <w:p>
      <w:pPr>
        <w:pStyle w:val="Heading2"/>
      </w:pPr>
      <w:r>
        <w:t>3.2 Risk yönetimi</w:t>
      </w:r>
    </w:p>
    <w:tbl>
      <w:tblPr>
        <w:tblStyle w:val="TableGrid"/>
        <w:tblW w:type="auto" w:w="0"/>
        <w:tblLayout w:type="fixed"/>
        <w:tblLook w:firstColumn="1" w:firstRow="1" w:lastColumn="0" w:lastRow="0" w:noHBand="0" w:noVBand="1" w:val="04A0"/>
      </w:tblPr>
      <w:tblGrid>
        <w:gridCol w:w="3389"/>
        <w:gridCol w:w="3389"/>
        <w:gridCol w:w="3389"/>
      </w:tblGrid>
      <w:tr>
        <w:trPr>
          <w:tblHeader w:val="true"/>
          <w:cantSplit/>
        </w:trPr>
        <w:tc>
          <w:tcPr>
            <w:tcW w:type="dxa" w:w="2448"/>
            <w:vAlign w:val="center"/>
            <w:shd w:fill="17365D"/>
          </w:tcPr>
          <w:p>
            <w:pPr>
              <w:spacing w:after="20" w:line="240" w:lineRule="auto"/>
            </w:pPr>
            <w:r/>
            <w:r>
              <w:rPr>
                <w:rFonts w:ascii="Arial" w:hAnsi="Arial"/>
                <w:b/>
                <w:color w:val="FFFFFF"/>
                <w:sz w:val="15"/>
              </w:rPr>
              <w:t>Risk</w:t>
            </w:r>
          </w:p>
        </w:tc>
        <w:tc>
          <w:tcPr>
            <w:tcW w:type="dxa" w:w="3168"/>
            <w:vAlign w:val="center"/>
            <w:shd w:fill="17365D"/>
          </w:tcPr>
          <w:p>
            <w:pPr>
              <w:spacing w:after="20" w:line="240" w:lineRule="auto"/>
            </w:pPr>
            <w:r/>
            <w:r>
              <w:rPr>
                <w:rFonts w:ascii="Arial" w:hAnsi="Arial"/>
                <w:b/>
                <w:color w:val="FFFFFF"/>
                <w:sz w:val="15"/>
              </w:rPr>
              <w:t>Olasılık / etki</w:t>
            </w:r>
          </w:p>
        </w:tc>
        <w:tc>
          <w:tcPr>
            <w:tcW w:type="dxa" w:w="4464"/>
            <w:vAlign w:val="center"/>
            <w:shd w:fill="17365D"/>
          </w:tcPr>
          <w:p>
            <w:pPr>
              <w:spacing w:after="20" w:line="240" w:lineRule="auto"/>
            </w:pPr>
            <w:r/>
            <w:r>
              <w:rPr>
                <w:rFonts w:ascii="Arial" w:hAnsi="Arial"/>
                <w:b/>
                <w:color w:val="FFFFFF"/>
                <w:sz w:val="15"/>
              </w:rPr>
              <w:t>B planı</w:t>
            </w:r>
          </w:p>
        </w:tc>
      </w:tr>
      <w:tr>
        <w:trPr>
          <w:cantSplit/>
        </w:trPr>
        <w:tc>
          <w:tcPr>
            <w:tcW w:type="dxa" w:w="2448"/>
            <w:vAlign w:val="center"/>
          </w:tcPr>
          <w:p>
            <w:pPr>
              <w:spacing w:after="20" w:line="240" w:lineRule="auto"/>
            </w:pPr>
            <w:r/>
            <w:r>
              <w:rPr>
                <w:rFonts w:ascii="Arial" w:hAnsi="Arial"/>
                <w:b w:val="0"/>
                <w:sz w:val="15"/>
              </w:rPr>
              <w:t>FGI Jammertest 2025 dosyalarının indirilememesi veya erişim koşulunun değişmesi</w:t>
            </w:r>
          </w:p>
        </w:tc>
        <w:tc>
          <w:tcPr>
            <w:tcW w:type="dxa" w:w="3168"/>
            <w:vAlign w:val="center"/>
          </w:tcPr>
          <w:p>
            <w:pPr>
              <w:spacing w:after="20" w:line="240" w:lineRule="auto"/>
            </w:pPr>
            <w:r/>
            <w:r>
              <w:rPr>
                <w:rFonts w:ascii="Arial" w:hAnsi="Arial"/>
                <w:b w:val="0"/>
                <w:sz w:val="15"/>
              </w:rPr>
              <w:t>Orta / yüksek. Katalog kaydı var; yerel dosya erişimi henüz doğrulanmadı.</w:t>
            </w:r>
          </w:p>
        </w:tc>
        <w:tc>
          <w:tcPr>
            <w:tcW w:type="dxa" w:w="4464"/>
            <w:vAlign w:val="center"/>
          </w:tcPr>
          <w:p>
            <w:pPr>
              <w:spacing w:after="20" w:line="240" w:lineRule="auto"/>
            </w:pPr>
            <w:r/>
            <w:r>
              <w:rPr>
                <w:rFonts w:ascii="Arial" w:hAnsi="Arial"/>
                <w:b w:val="0"/>
                <w:sz w:val="15"/>
              </w:rPr>
              <w:t>Başlangıçta yayıncı/katalog erişimi ve lisans yazılı olarak teyit edilir. Dosyalar edinilemezse bağımsız performans sonucu veya genelleme iddiası kurulmaz; danışmanla kapsam yeniden belirlenir ve yalnızca erişilebilir veriler için veri-kapsamı analizi yapılır.</w:t>
            </w:r>
          </w:p>
        </w:tc>
      </w:tr>
      <w:tr>
        <w:trPr>
          <w:cantSplit/>
        </w:trPr>
        <w:tc>
          <w:tcPr>
            <w:tcW w:type="dxa" w:w="2448"/>
            <w:vAlign w:val="center"/>
            <w:shd w:fill="F4F7FA"/>
          </w:tcPr>
          <w:p>
            <w:pPr>
              <w:spacing w:after="20" w:line="240" w:lineRule="auto"/>
            </w:pPr>
            <w:r/>
            <w:r>
              <w:rPr>
                <w:rFonts w:ascii="Arial" w:hAnsi="Arial"/>
                <w:b w:val="0"/>
                <w:sz w:val="15"/>
              </w:rPr>
              <w:t>SBF/RINEX şemasının veya olay zaman çizelgesinin prototiple uyumsuz olması</w:t>
            </w:r>
          </w:p>
        </w:tc>
        <w:tc>
          <w:tcPr>
            <w:tcW w:type="dxa" w:w="3168"/>
            <w:vAlign w:val="center"/>
            <w:shd w:fill="F4F7FA"/>
          </w:tcPr>
          <w:p>
            <w:pPr>
              <w:spacing w:after="20" w:line="240" w:lineRule="auto"/>
            </w:pPr>
            <w:r/>
            <w:r>
              <w:rPr>
                <w:rFonts w:ascii="Arial" w:hAnsi="Arial"/>
                <w:b w:val="0"/>
                <w:sz w:val="15"/>
              </w:rPr>
              <w:t>Orta / yüksek. Projede bu biçimler için adaptör yok.</w:t>
            </w:r>
          </w:p>
        </w:tc>
        <w:tc>
          <w:tcPr>
            <w:tcW w:type="dxa" w:w="4464"/>
            <w:vAlign w:val="center"/>
            <w:shd w:fill="F4F7FA"/>
          </w:tcPr>
          <w:p>
            <w:pPr>
              <w:spacing w:after="20" w:line="240" w:lineRule="auto"/>
            </w:pPr>
            <w:r/>
            <w:r>
              <w:rPr>
                <w:rFonts w:ascii="Arial" w:hAnsi="Arial"/>
                <w:b w:val="0"/>
                <w:sz w:val="15"/>
              </w:rPr>
              <w:t>Önce tek bir kaynak biçimi seçilip alan eşlemesi test edilir. Saat, birim veya olay etiketi doğrulanamayan kayıtlar performans paydasına alınmaz; uyumlu bir kayıt yoksa sonuç sınırlılığı raporlanır.</w:t>
            </w:r>
          </w:p>
        </w:tc>
      </w:tr>
      <w:tr>
        <w:trPr>
          <w:cantSplit/>
        </w:trPr>
        <w:tc>
          <w:tcPr>
            <w:tcW w:type="dxa" w:w="2448"/>
            <w:vAlign w:val="center"/>
          </w:tcPr>
          <w:p>
            <w:pPr>
              <w:spacing w:after="20" w:line="240" w:lineRule="auto"/>
            </w:pPr>
            <w:r/>
            <w:r>
              <w:rPr>
                <w:rFonts w:ascii="Arial" w:hAnsi="Arial"/>
                <w:b w:val="0"/>
                <w:sz w:val="15"/>
              </w:rPr>
              <w:t>Saldırı zaman çizelgesi veya kaynak saati belirsizliği</w:t>
            </w:r>
          </w:p>
        </w:tc>
        <w:tc>
          <w:tcPr>
            <w:tcW w:type="dxa" w:w="3168"/>
            <w:vAlign w:val="center"/>
          </w:tcPr>
          <w:p>
            <w:pPr>
              <w:spacing w:after="20" w:line="240" w:lineRule="auto"/>
            </w:pPr>
            <w:r/>
            <w:r>
              <w:rPr>
                <w:rFonts w:ascii="Arial" w:hAnsi="Arial"/>
                <w:b w:val="0"/>
                <w:sz w:val="15"/>
              </w:rPr>
              <w:t>Orta / yüksek. Olay takvimi ile alıcı saati farklı olabilir.</w:t>
            </w:r>
          </w:p>
        </w:tc>
        <w:tc>
          <w:tcPr>
            <w:tcW w:type="dxa" w:w="4464"/>
            <w:vAlign w:val="center"/>
          </w:tcPr>
          <w:p>
            <w:pPr>
              <w:spacing w:after="20" w:line="240" w:lineRule="auto"/>
            </w:pPr>
            <w:r/>
            <w:r>
              <w:rPr>
                <w:rFonts w:ascii="Arial" w:hAnsi="Arial"/>
                <w:b w:val="0"/>
                <w:sz w:val="15"/>
              </w:rPr>
              <w:t>Kaynak belgeleri karşılaştırılır; belirsizlik raporlanır. Güvenilir başlangıç/bitiş yoksa tespit gecikmesi hesaplanmaz.</w:t>
            </w:r>
          </w:p>
        </w:tc>
      </w:tr>
      <w:tr>
        <w:trPr>
          <w:cantSplit/>
        </w:trPr>
        <w:tc>
          <w:tcPr>
            <w:tcW w:type="dxa" w:w="2448"/>
            <w:vAlign w:val="center"/>
            <w:shd w:fill="F4F7FA"/>
          </w:tcPr>
          <w:p>
            <w:pPr>
              <w:spacing w:after="20" w:line="240" w:lineRule="auto"/>
            </w:pPr>
            <w:r/>
            <w:r>
              <w:rPr>
                <w:rFonts w:ascii="Arial" w:hAnsi="Arial"/>
                <w:b w:val="0"/>
                <w:sz w:val="15"/>
              </w:rPr>
              <w:t>C/N0, CMC, IMU veya temiz etiketlerin kaynakta bulunmaması</w:t>
            </w:r>
          </w:p>
        </w:tc>
        <w:tc>
          <w:tcPr>
            <w:tcW w:type="dxa" w:w="3168"/>
            <w:vAlign w:val="center"/>
            <w:shd w:fill="F4F7FA"/>
          </w:tcPr>
          <w:p>
            <w:pPr>
              <w:spacing w:after="20" w:line="240" w:lineRule="auto"/>
            </w:pPr>
            <w:r/>
            <w:r>
              <w:rPr>
                <w:rFonts w:ascii="Arial" w:hAnsi="Arial"/>
                <w:b w:val="0"/>
                <w:sz w:val="15"/>
              </w:rPr>
              <w:t>Yüksek / orta. Gözlenebilirler veri kümesine göre değişir.</w:t>
            </w:r>
          </w:p>
        </w:tc>
        <w:tc>
          <w:tcPr>
            <w:tcW w:type="dxa" w:w="4464"/>
            <w:vAlign w:val="center"/>
            <w:shd w:fill="F4F7FA"/>
          </w:tcPr>
          <w:p>
            <w:pPr>
              <w:spacing w:after="20" w:line="240" w:lineRule="auto"/>
            </w:pPr>
            <w:r/>
            <w:r>
              <w:rPr>
                <w:rFonts w:ascii="Arial" w:hAnsi="Arial"/>
                <w:b w:val="0"/>
                <w:sz w:val="15"/>
              </w:rPr>
              <w:t>Eksik alan üretilmez ve başka kaynaktan doldurulmaz. Yalnızca mevcut ölçüt alt kümesi değerlendirilir; metrik kapsamı her veri kaynağı için ayrı verilir.</w:t>
            </w:r>
          </w:p>
        </w:tc>
      </w:tr>
      <w:tr>
        <w:trPr>
          <w:cantSplit/>
        </w:trPr>
        <w:tc>
          <w:tcPr>
            <w:tcW w:type="dxa" w:w="2448"/>
            <w:vAlign w:val="center"/>
          </w:tcPr>
          <w:p>
            <w:pPr>
              <w:spacing w:after="20" w:line="240" w:lineRule="auto"/>
            </w:pPr>
            <w:r/>
            <w:r>
              <w:rPr>
                <w:rFonts w:ascii="Arial" w:hAnsi="Arial"/>
                <w:b w:val="0"/>
                <w:sz w:val="15"/>
              </w:rPr>
              <w:t>Sabit yöntemin saldırıları kaçırması veya temiz kayıtta alarm üretmesi</w:t>
            </w:r>
          </w:p>
        </w:tc>
        <w:tc>
          <w:tcPr>
            <w:tcW w:type="dxa" w:w="3168"/>
            <w:vAlign w:val="center"/>
          </w:tcPr>
          <w:p>
            <w:pPr>
              <w:spacing w:after="20" w:line="240" w:lineRule="auto"/>
            </w:pPr>
            <w:r/>
            <w:r>
              <w:rPr>
                <w:rFonts w:ascii="Arial" w:hAnsi="Arial"/>
                <w:b w:val="0"/>
                <w:sz w:val="15"/>
              </w:rPr>
              <w:t>Orta / yüksek. Ön çalışma bu olasılığı göstermiştir.</w:t>
            </w:r>
          </w:p>
        </w:tc>
        <w:tc>
          <w:tcPr>
            <w:tcW w:type="dxa" w:w="4464"/>
            <w:vAlign w:val="center"/>
          </w:tcPr>
          <w:p>
            <w:pPr>
              <w:spacing w:after="20" w:line="240" w:lineRule="auto"/>
            </w:pPr>
            <w:r/>
            <w:r>
              <w:rPr>
                <w:rFonts w:ascii="Arial" w:hAnsi="Arial"/>
                <w:b w:val="0"/>
                <w:sz w:val="15"/>
              </w:rPr>
              <w:t>Sonuç gizlenmeden raporlanır. Kilitli test verisine bakarak eşik değiştirilmez; yeni parametre denenirse yeni sürüm ayrı ve yeni bağımsız kayıtla değerlendirilir.</w:t>
            </w:r>
          </w:p>
        </w:tc>
      </w:tr>
      <w:tr>
        <w:trPr>
          <w:cantSplit/>
        </w:trPr>
        <w:tc>
          <w:tcPr>
            <w:tcW w:type="dxa" w:w="2448"/>
            <w:vAlign w:val="center"/>
            <w:shd w:fill="F4F7FA"/>
          </w:tcPr>
          <w:p>
            <w:pPr>
              <w:spacing w:after="20" w:line="240" w:lineRule="auto"/>
            </w:pPr>
            <w:r/>
            <w:r>
              <w:rPr>
                <w:rFonts w:ascii="Arial" w:hAnsi="Arial"/>
                <w:b w:val="0"/>
                <w:sz w:val="15"/>
              </w:rPr>
              <w:t>Kaynak lisansı veya veri indirme erişiminin sınırlı olması</w:t>
            </w:r>
          </w:p>
        </w:tc>
        <w:tc>
          <w:tcPr>
            <w:tcW w:type="dxa" w:w="3168"/>
            <w:vAlign w:val="center"/>
            <w:shd w:fill="F4F7FA"/>
          </w:tcPr>
          <w:p>
            <w:pPr>
              <w:spacing w:after="20" w:line="240" w:lineRule="auto"/>
            </w:pPr>
            <w:r/>
            <w:r>
              <w:rPr>
                <w:rFonts w:ascii="Arial" w:hAnsi="Arial"/>
                <w:b w:val="0"/>
                <w:sz w:val="15"/>
              </w:rPr>
              <w:t>Orta / orta.</w:t>
            </w:r>
          </w:p>
        </w:tc>
        <w:tc>
          <w:tcPr>
            <w:tcW w:type="dxa" w:w="4464"/>
            <w:vAlign w:val="center"/>
            <w:shd w:fill="F4F7FA"/>
          </w:tcPr>
          <w:p>
            <w:pPr>
              <w:spacing w:after="20" w:line="240" w:lineRule="auto"/>
            </w:pPr>
            <w:r/>
            <w:r>
              <w:rPr>
                <w:rFonts w:ascii="Arial" w:hAnsi="Arial"/>
                <w:b w:val="0"/>
                <w:sz w:val="15"/>
              </w:rPr>
              <w:t>Yalnız izin verilen kayıtlar işlenir; dağıtımda verinin kendisi yerine kaynak bağlantısı, lisans ve SHA-256 manifesti paylaşılır. Erişim yoksa kapsam resmi ve yerelde doğrulanmış kaynaklara indirilir.</w:t>
            </w:r>
          </w:p>
        </w:tc>
      </w:tr>
    </w:tbl>
    <w:p>
      <w:pPr>
        <w:spacing w:after="20"/>
      </w:pPr>
    </w:p>
    <w:p>
      <w:pPr>
        <w:pStyle w:val="Heading2"/>
      </w:pPr>
      <w:r>
        <w:t>3.3 Araştırma olanakları</w:t>
      </w:r>
    </w:p>
    <w:tbl>
      <w:tblPr>
        <w:tblStyle w:val="TableGrid"/>
        <w:tblW w:type="auto" w:w="0"/>
        <w:tblLayout w:type="fixed"/>
        <w:tblLook w:firstColumn="1" w:firstRow="1" w:lastColumn="0" w:lastRow="0" w:noHBand="0" w:noVBand="1" w:val="04A0"/>
      </w:tblPr>
      <w:tblGrid>
        <w:gridCol w:w="3389"/>
        <w:gridCol w:w="3389"/>
        <w:gridCol w:w="3389"/>
      </w:tblGrid>
      <w:tr>
        <w:trPr>
          <w:tblHeader w:val="true"/>
          <w:cantSplit/>
        </w:trPr>
        <w:tc>
          <w:tcPr>
            <w:tcW w:type="dxa" w:w="2304"/>
            <w:vAlign w:val="center"/>
            <w:shd w:fill="17365D"/>
          </w:tcPr>
          <w:p>
            <w:pPr>
              <w:spacing w:after="20" w:line="240" w:lineRule="auto"/>
            </w:pPr>
            <w:r/>
            <w:r>
              <w:rPr>
                <w:rFonts w:ascii="Arial" w:hAnsi="Arial"/>
                <w:b/>
                <w:color w:val="FFFFFF"/>
                <w:sz w:val="15"/>
              </w:rPr>
              <w:t>Olanak</w:t>
            </w:r>
          </w:p>
        </w:tc>
        <w:tc>
          <w:tcPr>
            <w:tcW w:type="dxa" w:w="4032"/>
            <w:vAlign w:val="center"/>
            <w:shd w:fill="17365D"/>
          </w:tcPr>
          <w:p>
            <w:pPr>
              <w:spacing w:after="20" w:line="240" w:lineRule="auto"/>
            </w:pPr>
            <w:r/>
            <w:r>
              <w:rPr>
                <w:rFonts w:ascii="Arial" w:hAnsi="Arial"/>
                <w:b/>
                <w:color w:val="FFFFFF"/>
                <w:sz w:val="15"/>
              </w:rPr>
              <w:t>Projede kullanım</w:t>
            </w:r>
          </w:p>
        </w:tc>
        <w:tc>
          <w:tcPr>
            <w:tcW w:type="dxa" w:w="3744"/>
            <w:vAlign w:val="center"/>
            <w:shd w:fill="17365D"/>
          </w:tcPr>
          <w:p>
            <w:pPr>
              <w:spacing w:after="20" w:line="240" w:lineRule="auto"/>
            </w:pPr>
            <w:r/>
            <w:r>
              <w:rPr>
                <w:rFonts w:ascii="Arial" w:hAnsi="Arial"/>
                <w:b/>
                <w:color w:val="FFFFFF"/>
                <w:sz w:val="15"/>
              </w:rPr>
              <w:t>Doğrulama</w:t>
            </w:r>
          </w:p>
        </w:tc>
      </w:tr>
      <w:tr>
        <w:trPr>
          <w:cantSplit/>
        </w:trPr>
        <w:tc>
          <w:tcPr>
            <w:tcW w:type="dxa" w:w="2304"/>
            <w:vAlign w:val="center"/>
          </w:tcPr>
          <w:p>
            <w:pPr>
              <w:spacing w:after="20" w:line="240" w:lineRule="auto"/>
            </w:pPr>
            <w:r/>
            <w:r>
              <w:rPr>
                <w:rFonts w:ascii="Arial" w:hAnsi="Arial"/>
                <w:b w:val="0"/>
                <w:sz w:val="15"/>
              </w:rPr>
              <w:t>Mevcut GNSS analiz prototipi ve kaynak kodu</w:t>
            </w:r>
          </w:p>
        </w:tc>
        <w:tc>
          <w:tcPr>
            <w:tcW w:type="dxa" w:w="4032"/>
            <w:vAlign w:val="center"/>
          </w:tcPr>
          <w:p>
            <w:pPr>
              <w:spacing w:after="20" w:line="240" w:lineRule="auto"/>
            </w:pPr>
            <w:r/>
            <w:r>
              <w:rPr>
                <w:rFonts w:ascii="Arial" w:hAnsi="Arial"/>
                <w:b w:val="0"/>
                <w:sz w:val="15"/>
              </w:rPr>
              <w:t>Kaynak adaptörleri, alıcı profili, ölçüt hesapları ve tekrar çalıştırılabilir analiz.</w:t>
            </w:r>
          </w:p>
        </w:tc>
        <w:tc>
          <w:tcPr>
            <w:tcW w:type="dxa" w:w="3744"/>
            <w:vAlign w:val="center"/>
          </w:tcPr>
          <w:p>
            <w:pPr>
              <w:spacing w:after="20" w:line="240" w:lineRule="auto"/>
            </w:pPr>
            <w:r/>
            <w:r>
              <w:rPr>
                <w:rFonts w:ascii="Arial" w:hAnsi="Arial"/>
                <w:b w:val="0"/>
                <w:sz w:val="15"/>
              </w:rPr>
              <w:t>Öğrenci ve danışman mevcut sürümü, yazılım lisansını ve proje kullanım iznini doğrulamalı.</w:t>
            </w:r>
          </w:p>
        </w:tc>
      </w:tr>
      <w:tr>
        <w:trPr>
          <w:cantSplit/>
        </w:trPr>
        <w:tc>
          <w:tcPr>
            <w:tcW w:type="dxa" w:w="2304"/>
            <w:vAlign w:val="center"/>
            <w:shd w:fill="F4F7FA"/>
          </w:tcPr>
          <w:p>
            <w:pPr>
              <w:spacing w:after="20" w:line="240" w:lineRule="auto"/>
            </w:pPr>
            <w:r/>
            <w:r>
              <w:rPr>
                <w:rFonts w:ascii="Arial" w:hAnsi="Arial"/>
                <w:b w:val="0"/>
                <w:sz w:val="15"/>
              </w:rPr>
              <w:t>Bilgisayar ve yazılım ortamı</w:t>
            </w:r>
          </w:p>
        </w:tc>
        <w:tc>
          <w:tcPr>
            <w:tcW w:type="dxa" w:w="4032"/>
            <w:vAlign w:val="center"/>
            <w:shd w:fill="F4F7FA"/>
          </w:tcPr>
          <w:p>
            <w:pPr>
              <w:spacing w:after="20" w:line="240" w:lineRule="auto"/>
            </w:pPr>
            <w:r/>
            <w:r>
              <w:rPr>
                <w:rFonts w:ascii="Arial" w:hAnsi="Arial"/>
                <w:b w:val="0"/>
                <w:sz w:val="15"/>
              </w:rPr>
              <w:t>Kayıt replay'i, tablo analizi ve sonuç üretimi; çalışma yerel bilgisayarda yürütülebilir.</w:t>
            </w:r>
          </w:p>
        </w:tc>
        <w:tc>
          <w:tcPr>
            <w:tcW w:type="dxa" w:w="3744"/>
            <w:vAlign w:val="center"/>
            <w:shd w:fill="F4F7FA"/>
          </w:tcPr>
          <w:p>
            <w:pPr>
              <w:spacing w:after="20" w:line="240" w:lineRule="auto"/>
            </w:pPr>
            <w:r/>
            <w:r>
              <w:rPr>
                <w:rFonts w:ascii="Arial" w:hAnsi="Arial"/>
                <w:b w:val="0"/>
                <w:sz w:val="15"/>
              </w:rPr>
              <w:t>Bellek, disk alanı ve kurumsal erişim imkânları başvuru öncesi envanterden teyit edilmeli.</w:t>
            </w:r>
          </w:p>
        </w:tc>
      </w:tr>
      <w:tr>
        <w:trPr>
          <w:cantSplit/>
        </w:trPr>
        <w:tc>
          <w:tcPr>
            <w:tcW w:type="dxa" w:w="2304"/>
            <w:vAlign w:val="center"/>
          </w:tcPr>
          <w:p>
            <w:pPr>
              <w:spacing w:after="20" w:line="240" w:lineRule="auto"/>
            </w:pPr>
            <w:r/>
            <w:r>
              <w:rPr>
                <w:rFonts w:ascii="Arial" w:hAnsi="Arial"/>
                <w:b w:val="0"/>
                <w:sz w:val="15"/>
              </w:rPr>
              <w:t>Yayımlanmış kayıtlar</w:t>
            </w:r>
          </w:p>
        </w:tc>
        <w:tc>
          <w:tcPr>
            <w:tcW w:type="dxa" w:w="4032"/>
            <w:vAlign w:val="center"/>
          </w:tcPr>
          <w:p>
            <w:pPr>
              <w:spacing w:after="20" w:line="240" w:lineRule="auto"/>
            </w:pPr>
            <w:r/>
            <w:r>
              <w:rPr>
                <w:rFonts w:ascii="Arial" w:hAnsi="Arial"/>
                <w:b w:val="0"/>
                <w:sz w:val="15"/>
              </w:rPr>
              <w:t>FGI Jammertest 2025 PolaRx5 kayıtları bu araştırmanın bağımsız test adayıdır; önceki TEXBAT/Jammertest kayıtları yalnız geliştirme/ön çalışma içindir.</w:t>
            </w:r>
          </w:p>
        </w:tc>
        <w:tc>
          <w:tcPr>
            <w:tcW w:type="dxa" w:w="3744"/>
            <w:vAlign w:val="center"/>
          </w:tcPr>
          <w:p>
            <w:pPr>
              <w:spacing w:after="20" w:line="240" w:lineRule="auto"/>
            </w:pPr>
            <w:r/>
            <w:r>
              <w:rPr>
                <w:rFonts w:ascii="Arial" w:hAnsi="Arial"/>
                <w:b w:val="0"/>
                <w:sz w:val="15"/>
              </w:rPr>
              <w:t>2025 dosyalarının indirme erişimi, lisansı, sürümü, alanları ve yer gerçeği başvuru öncesi doğrulanmalı; yerel SBF/RINEX desteği geliştirilmelidir.</w:t>
            </w:r>
          </w:p>
        </w:tc>
      </w:tr>
      <w:tr>
        <w:trPr>
          <w:cantSplit/>
        </w:trPr>
        <w:tc>
          <w:tcPr>
            <w:tcW w:type="dxa" w:w="2304"/>
            <w:vAlign w:val="center"/>
            <w:shd w:fill="F4F7FA"/>
          </w:tcPr>
          <w:p>
            <w:pPr>
              <w:spacing w:after="20" w:line="240" w:lineRule="auto"/>
            </w:pPr>
            <w:r/>
            <w:r>
              <w:rPr>
                <w:rFonts w:ascii="Arial" w:hAnsi="Arial"/>
                <w:b w:val="0"/>
                <w:sz w:val="15"/>
              </w:rPr>
              <w:t>Laboratuvar / GNSS donanımı</w:t>
            </w:r>
          </w:p>
        </w:tc>
        <w:tc>
          <w:tcPr>
            <w:tcW w:type="dxa" w:w="4032"/>
            <w:vAlign w:val="center"/>
            <w:shd w:fill="F4F7FA"/>
          </w:tcPr>
          <w:p>
            <w:pPr>
              <w:spacing w:after="20" w:line="240" w:lineRule="auto"/>
            </w:pPr>
            <w:r/>
            <w:r>
              <w:rPr>
                <w:rFonts w:ascii="Arial" w:hAnsi="Arial"/>
                <w:b w:val="0"/>
                <w:sz w:val="15"/>
              </w:rPr>
              <w:t>Yeni normal oturum veya bağımsız alıcı kaydı gerekecekse kullanılabilir altyapı.</w:t>
            </w:r>
          </w:p>
        </w:tc>
        <w:tc>
          <w:tcPr>
            <w:tcW w:type="dxa" w:w="3744"/>
            <w:vAlign w:val="center"/>
            <w:shd w:fill="F4F7FA"/>
          </w:tcPr>
          <w:p>
            <w:pPr>
              <w:spacing w:after="20" w:line="240" w:lineRule="auto"/>
            </w:pPr>
            <w:r/>
            <w:r>
              <w:rPr>
                <w:rFonts w:ascii="Arial" w:hAnsi="Arial"/>
                <w:b w:val="0"/>
                <w:sz w:val="15"/>
              </w:rPr>
              <w:t>[Danışman ve bölüm tarafından laboratuvar, alıcı, referans sensör ve güvenli ölçüm ortamı doğrulanacak.]</w:t>
            </w:r>
          </w:p>
        </w:tc>
      </w:tr>
    </w:tbl>
    <w:p>
      <w:pPr>
        <w:spacing w:after="20"/>
      </w:pPr>
    </w:p>
    <w:p>
      <w:pPr>
        <w:pStyle w:val="Heading1"/>
      </w:pPr>
      <w:r>
        <w:t>4 Araştırma önerisinin yaygın etkisi</w:t>
      </w:r>
    </w:p>
    <w:p>
      <w:pPr>
        <w:widowControl/>
      </w:pPr>
      <w:r>
        <w:rPr>
          <w:rFonts w:ascii="Arial" w:hAnsi="Arial"/>
          <w:i w:val="0"/>
        </w:rPr>
        <w:t>Proje, önceden geliştirme verilerinde incelenmiş GNSS tutarsızlık prototipinin bağımsız PolaRx5 ölçümlerine aktarımını sınayacaktır. Beklenen çıktılar; (i) FGI Jammertest 2025 dosyalarının sürüm, lisans, alan ve yer gerçeği manifesti, (ii) ölçüm dönüşümünü doğrulayan SBF/RINEX adaptörü ve kalite testleri, (iii) jamming ve spoofing olayları için yeni alarm, kaçırma ve gecikme sonuçlarını içeren dondurulmuş değerlendirme raporu, (iv) tekrarlanabilir analiz betikleri ve öğrencinin GNSS veri işleme/araştırma becerileridir. Paylaşım izni bulunan kod ve analiz yönergeleri açık depoda yayımlanabilir; veri dosyaları lisans izin vermedikçe dağıtılmayacaktır. Bulgular yüksek tespit başarısı veya sahada güvenli kullanım iddiası olarak sunulmayacaktır.</w:t>
      </w:r>
    </w:p>
    <w:p>
      <w:pPr>
        <w:pStyle w:val="Heading1"/>
      </w:pPr>
      <w:r>
        <w:t>5 Belirtmek istediğiniz diğer konular</w:t>
      </w:r>
    </w:p>
    <w:p>
      <w:pPr>
        <w:widowControl/>
      </w:pPr>
      <w:r>
        <w:rPr>
          <w:rFonts w:ascii="Arial" w:hAnsi="Arial"/>
          <w:i w:val="0"/>
        </w:rPr>
        <w:t>Bu çalışma canlı RF yayını, girişim üretimi, uçuş kontrolü veya insan katılımcı içermeyen çevrimdışı kayıt analizidir. GPS/konum kayıtları hassas olabileceğinden yalnızca kullanım izni doğrulanmış veri işlenecek; gereksiz koordinatlar yayımlanmayacak ve veri lisansına uyulacaktır. Etik kurul gerekliliği danışman ve yürütücü kurumla teyit edilmelidir. Prototip alarmı GNSS ölçüm tutarsızlığı göstergesidir; tek başına spoofing veya jamming nedenini ispatlamaz. Jammertest 2025 dosyalarına erişim ve biçim uyumu doğrulanmadan bağımsız performans sonucu vaat edilmez.</w:t>
      </w:r>
    </w:p>
    <w:p>
      <w:pPr>
        <w:pStyle w:val="Heading1"/>
      </w:pPr>
      <w:r>
        <w:t>6 Kaynaklar</w:t>
      </w:r>
    </w:p>
    <w:p>
      <w:pPr>
        <w:spacing w:after="60"/>
        <w:ind w:left="317" w:hanging="173"/>
      </w:pPr>
      <w:r>
        <w:t>[1] M. L. Psiaki ve T. E. Humphreys, “GNSS Spoofing and Detection,” Proceedings of the IEEE, 104(6), 1258-1270, 2016. DOI: 10.1109/JPROC.2016.2526658.</w:t>
      </w:r>
    </w:p>
    <w:p>
      <w:pPr>
        <w:spacing w:after="60"/>
        <w:ind w:left="317" w:hanging="173"/>
      </w:pPr>
      <w:r>
        <w:t>[2] F. Rothmaier, L. Taleghani, Y.-H. Chen, S. Lo, E. Phelts ve T. Walter, “GNSS Spoofing Detection through Metric Combinations: Calibration and Application of a General Framework,” Proceedings of ION GNSS+ 2021, 4249-4263. DOI: 10.33012/2021.18126.</w:t>
      </w:r>
    </w:p>
    <w:p>
      <w:pPr>
        <w:spacing w:after="60"/>
        <w:ind w:left="317" w:hanging="173"/>
      </w:pPr>
      <w:r>
        <w:t>[3] A. M. Khan, N. Iqbal, A. A. Khan, M. F. Khan ve A. Ahmad, “Detection of Intermediate Spoofing Attack on Global Navigation Satellite System Receiver Through Slope Based Metrics,” The Journal of Navigation, 73(5), 1052-1068, 2020. DOI: 10.1017/S0373463320000168.</w:t>
      </w:r>
    </w:p>
    <w:p>
      <w:pPr>
        <w:spacing w:after="60"/>
        <w:ind w:left="317" w:hanging="173"/>
      </w:pPr>
      <w:r>
        <w:t>[4] Q. Li ve diğerleri, “Intrinsic Identification and Mitigation of Multipath for Enhanced GNSS Positioning,” Sensors, 21(1), 188, 2021. DOI: 10.3390/s21010188.</w:t>
      </w:r>
    </w:p>
    <w:p>
      <w:pPr>
        <w:spacing w:after="60"/>
        <w:ind w:left="317" w:hanging="173"/>
      </w:pPr>
      <w:r>
        <w:t>[5] T. E. Humphreys ve diğerleri, “The Texas Spoofing Test Battery: Toward a Standard for Evaluating GPS Signal Authentication Techniques,” Proceedings of ION GNSS 2012, 3569-3583. Veri ve senaryo açıklaması: UT Austin Radionavigation Laboratory, TEXBAT, https://radionavlab.ae.utexas.edu/texbat/.</w:t>
      </w:r>
    </w:p>
    <w:p>
      <w:pPr>
        <w:spacing w:after="60"/>
        <w:ind w:left="317" w:hanging="173"/>
      </w:pPr>
      <w:r>
        <w:t>[6] M. Lemmenes ve diğerleri, “Detailed Analysis of the Texas Spoofing Test Battery Using a High Fidelity Software Receiver,” Proceedings of ION GNSS+ 2016. https://radionavlab.ae.utexas.edu/images/stories/files/papers/LemmenesGNSSpaper.pdf.</w:t>
      </w:r>
    </w:p>
    <w:p>
      <w:pPr>
        <w:spacing w:after="60"/>
        <w:ind w:left="317" w:hanging="173"/>
      </w:pPr>
      <w:r>
        <w:t>[7] Finnish Geospatial Research Institute, “FGI Jammertest 2025 GNSS interference dataset,” Fairdata Etsin, 2026. Katalog kaydı SBF/RINEX ve yer gerçeği bilgisi bildirir; dosya indirme erişimi ve yerel şema doğrulaması tamamlanmamıştır. https://etsin.fairdata.fi/dataset/095782a8-4e31-456e-8719-7021b4c96362.</w:t>
      </w:r>
    </w:p>
    <w:p>
      <w:pPr>
        <w:spacing w:after="60"/>
        <w:ind w:left="317" w:hanging="173"/>
      </w:pPr>
      <w:r>
        <w:t>[8] Jammertest 2024, Zenodo sürüm 3, GNSS interference dataset. DOI: 10.5281/zenodo.15911589. Kullanılan olay zamanları ve kapsam için kaynak belgeleriyle tekrar doğrulama yapılacaktır.</w:t>
      </w:r>
    </w:p>
    <w:p>
      <w:pPr>
        <w:pStyle w:val="Heading1"/>
      </w:pPr>
      <w:r>
        <w:t>Başvuru öncesi tamamlanacak bilgiler</w:t>
      </w:r>
    </w:p>
    <w:p>
      <w:pPr>
        <w:pStyle w:val="ListBullet"/>
        <w:spacing w:after="40"/>
        <w:ind w:left="317" w:hanging="173"/>
      </w:pPr>
      <w:r>
        <w:t>TYBS / ARBİS kayıtlarındaki öğrenci adı, ortaklar, program, danışman ve akademik alanı doğrulayın. Ek PDF’deki 2024 başvuru bilgilerini GNSS projesine otomatik aktarmayın.</w:t>
      </w:r>
    </w:p>
    <w:p>
      <w:pPr>
        <w:pStyle w:val="ListBullet"/>
        <w:spacing w:after="40"/>
        <w:ind w:left="317" w:hanging="173"/>
      </w:pPr>
      <w:r>
        <w:t>Danışmanla proje kapsamını ve 12 aylık takvimi netleştirin. Yeni veriye erişim ve SBF/RINEX dosyalarını çözümleme imkânını başvuru öncesi teyit edin.</w:t>
      </w:r>
    </w:p>
    <w:p>
      <w:pPr>
        <w:pStyle w:val="ListBullet"/>
        <w:spacing w:after="40"/>
        <w:ind w:left="317" w:hanging="173"/>
      </w:pPr>
      <w:r>
        <w:t>FGI Jammertest 2025 dosyalarının indirme erişimini, lisansını, veri sürümünü, olay etiketlerini ve temiz zaman tanımını başvuru öncesinde doğrulayın. Erişim yoksa bağımsız başarı vaadi vermeyin ve kapsamı danışmanla yeniden belirleyin.</w:t>
      </w:r>
    </w:p>
    <w:p>
      <w:pPr>
        <w:pStyle w:val="ListBullet"/>
        <w:spacing w:after="40"/>
        <w:ind w:left="317" w:hanging="173"/>
      </w:pPr>
      <w:r>
        <w:t>Bütçe ekranında yalnızca doğrudan gerekli, uygun ve fiyat teklifiyle gerekçelendirilebilen giderleri yazın. 2026 program sayfasındaki üst sınır 12.000 TL'dir; konferans, yayın/patent, konaklama ve yevmiye kalemlerini eklemeyin. Gerçek teklifleri danışman ve kurumla doğrulayın.</w:t>
      </w:r>
    </w:p>
    <w:p>
      <w:pPr>
        <w:pStyle w:val="ListBullet"/>
        <w:spacing w:after="40"/>
        <w:ind w:left="317" w:hanging="173"/>
      </w:pPr>
      <w:r>
        <w:t>TYBS önizlemesinde metin, tablo ve özel karakterlerin doğru aktarıldığını kontrol edin. Başvuru ve danışman onayını son tarihten önce tamamlayın.</w:t>
      </w:r>
    </w:p>
    <w:p>
      <w:pPr>
        <w:pStyle w:val="ListBullet"/>
        <w:spacing w:after="40"/>
        <w:ind w:left="317" w:hanging="173"/>
      </w:pPr>
      <w:r>
        <w:t>Üretken yapay zekâ bu taslağın araştırma önerisi metnini oluşturma ve düzenleme aşamasında kullanıldı. TYBS'deki ÜYZ beyanında bu kullanım dürüstçe açıklanmalı; metin, yöntem ve kaynakların doğruluğunu başvuru sahibi ile danışman kontrol etmelidir.</w:t>
      </w:r>
    </w:p>
    <w:p>
      <w:pPr>
        <w:widowControl/>
      </w:pPr>
      <w:r>
        <w:rPr>
          <w:rFonts w:ascii="Arial" w:hAnsi="Arial"/>
          <w:i/>
          <w:color w:val="5B6573"/>
          <w:sz w:val="17"/>
        </w:rPr>
        <w:t>2026 çağrı takvimi: başvuru ve danışman onayı 11 Kasım 2026 saat 17.30'a kadar; kuruluş yetkilisi e-imza aşaması 16-23 Kasım 2026. Güncel TYBS ekranı ve TÜBİTAK duyurusu başvuru anında yeniden kontrol edilmelidir.</w:t>
      </w:r>
    </w:p>
    <w:sectPr w:rsidR="00FC693F" w:rsidRPr="0006063C" w:rsidSect="00034616">
      <w:headerReference w:type="default" r:id="rId9"/>
      <w:footerReference w:type="default" r:id="rId10"/>
      <w:pgSz w:w="12240" w:h="15840"/>
      <w:pgMar w:top="979"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B6573"/>
        <w:sz w:val="16"/>
      </w:rPr>
      <w:t xml:space="preserve">TYBS alanlarına aktarım için düzenlenebilir çalışma metni  ·  Sayfa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B6573"/>
        <w:sz w:val="16"/>
      </w:rPr>
      <w:t>2209-A  |  GNSS ARAŞTIRMA ÖNERİSİ TASLAĞI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252B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1E6D78"/>
      <w:sz w:val="22"/>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17365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Bağımsız Jammertest 2025 Verisinde GNSS Tutarsızlık İzleyicisinin Değerlendirilmesi</dc:title>
  <dc:subject>2026 TYBS alanları için düzenlenebilir metin taslağı</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