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TÜBİTAK 2209-A GNSS Araştırma Önerisi</w:t>
      </w:r>
    </w:p>
    <w:p>
      <w:pPr>
        <w:widowControl/>
        <w:spacing w:after="240"/>
      </w:pPr>
      <w:r>
        <w:rPr>
          <w:rFonts w:ascii="Arial" w:hAnsi="Arial"/>
          <w:i w:val="0"/>
          <w:color w:val="1E6D78"/>
          <w:sz w:val="22"/>
        </w:rPr>
        <w:t>2026 TYBS başvuru alanları için düzenlenebilir metin taslağı</w:t>
      </w:r>
    </w:p>
    <w:tbl>
      <w:tblPr>
        <w:tblStyle w:val="TableGrid"/>
        <w:tblW w:type="auto" w:w="0"/>
        <w:tblLook w:firstColumn="1" w:firstRow="1" w:lastColumn="0" w:lastRow="0" w:noHBand="0" w:noVBand="1" w:val="04A0"/>
      </w:tblPr>
      <w:tblGrid>
        <w:gridCol w:w="10166"/>
      </w:tblGrid>
      <w:tr>
        <w:tc>
          <w:tcPr>
            <w:tcW w:type="dxa" w:w="10166"/>
            <w:shd w:fill="FFF2CC"/>
            <w:vAlign w:val="center"/>
          </w:tcPr>
          <w:p>
            <w:pPr>
              <w:spacing w:after="20" w:line="240" w:lineRule="auto"/>
            </w:pPr>
            <w:r/>
            <w:r>
              <w:rPr>
                <w:rFonts w:ascii="Arial" w:hAnsi="Arial"/>
                <w:b w:val="0"/>
                <w:sz w:val="18"/>
              </w:rPr>
              <w:t>KULLANIM NOTU  2026 çağrısında araştırma önerisi TYBS alanlarına girilir ve sistem tarafından oluşturulur; bu Word dosyası başvuruya yüklenecek belge değildir. İndirilen PDF 2024 dönemine ait ve başka bir projeyi içeriyor. Bu taslaktaki köşeli parantezli alanlar, yöntem, kaynaklar ve AI kullanım beyanı başvuru sahibi ile danışman tarafından doğrulanmalıdır.</w:t>
            </w:r>
          </w:p>
        </w:tc>
      </w:tr>
    </w:tbl>
    <w:p/>
    <w:p>
      <w:pPr>
        <w:pStyle w:val="Heading1"/>
      </w:pPr>
      <w:r>
        <w:t>Başvuru bilgileri</w:t>
      </w:r>
    </w:p>
    <w:tbl>
      <w:tblPr>
        <w:tblStyle w:val="TableGrid"/>
        <w:tblW w:type="auto" w:w="0"/>
        <w:tblLayout w:type="fixed"/>
        <w:tblLook w:firstColumn="1" w:firstRow="1" w:lastColumn="0" w:lastRow="0" w:noHBand="0" w:noVBand="1" w:val="04A0"/>
      </w:tblPr>
      <w:tblGrid>
        <w:gridCol w:w="5083"/>
        <w:gridCol w:w="5083"/>
      </w:tblGrid>
      <w:tr>
        <w:trPr>
          <w:tblHeader w:val="true"/>
          <w:cantSplit/>
        </w:trPr>
        <w:tc>
          <w:tcPr>
            <w:tcW w:type="dxa" w:w="2232"/>
            <w:vAlign w:val="center"/>
            <w:shd w:fill="17365D"/>
          </w:tcPr>
          <w:p>
            <w:pPr>
              <w:spacing w:after="20" w:line="240" w:lineRule="auto"/>
            </w:pPr>
            <w:r/>
            <w:r>
              <w:rPr>
                <w:rFonts w:ascii="Arial" w:hAnsi="Arial"/>
                <w:b/>
                <w:color w:val="FFFFFF"/>
                <w:sz w:val="16"/>
              </w:rPr>
              <w:t>Alan</w:t>
            </w:r>
          </w:p>
        </w:tc>
        <w:tc>
          <w:tcPr>
            <w:tcW w:type="dxa" w:w="8136"/>
            <w:vAlign w:val="center"/>
            <w:shd w:fill="17365D"/>
          </w:tcPr>
          <w:p>
            <w:pPr>
              <w:spacing w:after="20" w:line="240" w:lineRule="auto"/>
            </w:pPr>
            <w:r/>
            <w:r>
              <w:rPr>
                <w:rFonts w:ascii="Arial" w:hAnsi="Arial"/>
                <w:b/>
                <w:color w:val="FFFFFF"/>
                <w:sz w:val="16"/>
              </w:rPr>
              <w:t>Taslak / tamamlanacak bilgi</w:t>
            </w:r>
          </w:p>
        </w:tc>
      </w:tr>
      <w:tr>
        <w:trPr>
          <w:cantSplit/>
        </w:trPr>
        <w:tc>
          <w:tcPr>
            <w:tcW w:type="dxa" w:w="2232"/>
            <w:vAlign w:val="center"/>
          </w:tcPr>
          <w:p>
            <w:pPr>
              <w:spacing w:after="20" w:line="240" w:lineRule="auto"/>
            </w:pPr>
            <w:r/>
            <w:r>
              <w:rPr>
                <w:rFonts w:ascii="Arial" w:hAnsi="Arial"/>
                <w:b w:val="0"/>
                <w:sz w:val="16"/>
              </w:rPr>
              <w:t>Proje başlığı</w:t>
            </w:r>
          </w:p>
        </w:tc>
        <w:tc>
          <w:tcPr>
            <w:tcW w:type="dxa" w:w="8136"/>
            <w:vAlign w:val="center"/>
          </w:tcPr>
          <w:p>
            <w:pPr>
              <w:spacing w:after="20" w:line="240" w:lineRule="auto"/>
            </w:pPr>
            <w:r/>
            <w:r>
              <w:rPr>
                <w:rFonts w:ascii="Arial" w:hAnsi="Arial"/>
                <w:b w:val="0"/>
                <w:sz w:val="16"/>
              </w:rPr>
              <w:t>Heterojen GNSS Ölçüm Kayıtlarında Alıcıya Duyarlı Tutarsızlık İzleme Yöntemlerinin İncelenmesi</w:t>
            </w:r>
          </w:p>
        </w:tc>
      </w:tr>
      <w:tr>
        <w:trPr>
          <w:cantSplit/>
        </w:trPr>
        <w:tc>
          <w:tcPr>
            <w:tcW w:type="dxa" w:w="2232"/>
            <w:vAlign w:val="center"/>
            <w:shd w:fill="F4F7FA"/>
          </w:tcPr>
          <w:p>
            <w:pPr>
              <w:spacing w:after="20" w:line="240" w:lineRule="auto"/>
            </w:pPr>
            <w:r/>
            <w:r>
              <w:rPr>
                <w:rFonts w:ascii="Arial" w:hAnsi="Arial"/>
                <w:b w:val="0"/>
                <w:sz w:val="16"/>
              </w:rPr>
              <w:t>Proje yürütücüsü</w:t>
            </w:r>
          </w:p>
        </w:tc>
        <w:tc>
          <w:tcPr>
            <w:tcW w:type="dxa" w:w="8136"/>
            <w:vAlign w:val="center"/>
            <w:shd w:fill="F4F7FA"/>
          </w:tcPr>
          <w:p>
            <w:pPr>
              <w:spacing w:after="20" w:line="240" w:lineRule="auto"/>
            </w:pPr>
            <w:r/>
            <w:r>
              <w:rPr>
                <w:rFonts w:ascii="Arial" w:hAnsi="Arial"/>
                <w:b w:val="0"/>
                <w:sz w:val="16"/>
              </w:rPr>
              <w:t>[TYBS / ARBİS kayıtlarındaki güncel ad soyad]</w:t>
            </w:r>
          </w:p>
        </w:tc>
      </w:tr>
      <w:tr>
        <w:trPr>
          <w:cantSplit/>
        </w:trPr>
        <w:tc>
          <w:tcPr>
            <w:tcW w:type="dxa" w:w="2232"/>
            <w:vAlign w:val="center"/>
          </w:tcPr>
          <w:p>
            <w:pPr>
              <w:spacing w:after="20" w:line="240" w:lineRule="auto"/>
            </w:pPr>
            <w:r/>
            <w:r>
              <w:rPr>
                <w:rFonts w:ascii="Arial" w:hAnsi="Arial"/>
                <w:b w:val="0"/>
                <w:sz w:val="16"/>
              </w:rPr>
              <w:t>Proje ortakları</w:t>
            </w:r>
          </w:p>
        </w:tc>
        <w:tc>
          <w:tcPr>
            <w:tcW w:type="dxa" w:w="8136"/>
            <w:vAlign w:val="center"/>
          </w:tcPr>
          <w:p>
            <w:pPr>
              <w:spacing w:after="20" w:line="240" w:lineRule="auto"/>
            </w:pPr>
            <w:r/>
            <w:r>
              <w:rPr>
                <w:rFonts w:ascii="Arial" w:hAnsi="Arial"/>
                <w:b w:val="0"/>
                <w:sz w:val="16"/>
              </w:rPr>
              <w:t>[Varsa en fazla dört öğrenci; yoksa bireysel başvuru]</w:t>
            </w:r>
          </w:p>
        </w:tc>
      </w:tr>
      <w:tr>
        <w:trPr>
          <w:cantSplit/>
        </w:trPr>
        <w:tc>
          <w:tcPr>
            <w:tcW w:type="dxa" w:w="2232"/>
            <w:vAlign w:val="center"/>
            <w:shd w:fill="F4F7FA"/>
          </w:tcPr>
          <w:p>
            <w:pPr>
              <w:spacing w:after="20" w:line="240" w:lineRule="auto"/>
            </w:pPr>
            <w:r/>
            <w:r>
              <w:rPr>
                <w:rFonts w:ascii="Arial" w:hAnsi="Arial"/>
                <w:b w:val="0"/>
                <w:sz w:val="16"/>
              </w:rPr>
              <w:t>Akademik danışman</w:t>
            </w:r>
          </w:p>
        </w:tc>
        <w:tc>
          <w:tcPr>
            <w:tcW w:type="dxa" w:w="8136"/>
            <w:vAlign w:val="center"/>
            <w:shd w:fill="F4F7FA"/>
          </w:tcPr>
          <w:p>
            <w:pPr>
              <w:spacing w:after="20" w:line="240" w:lineRule="auto"/>
            </w:pPr>
            <w:r/>
            <w:r>
              <w:rPr>
                <w:rFonts w:ascii="Arial" w:hAnsi="Arial"/>
                <w:b w:val="0"/>
                <w:sz w:val="16"/>
              </w:rPr>
              <w:t>[Güncel YÖKSİS ve ARBİS kaydı doğrulanacak]</w:t>
            </w:r>
          </w:p>
        </w:tc>
      </w:tr>
      <w:tr>
        <w:trPr>
          <w:cantSplit/>
        </w:trPr>
        <w:tc>
          <w:tcPr>
            <w:tcW w:type="dxa" w:w="2232"/>
            <w:vAlign w:val="center"/>
          </w:tcPr>
          <w:p>
            <w:pPr>
              <w:spacing w:after="20" w:line="240" w:lineRule="auto"/>
            </w:pPr>
            <w:r/>
            <w:r>
              <w:rPr>
                <w:rFonts w:ascii="Arial" w:hAnsi="Arial"/>
                <w:b w:val="0"/>
                <w:sz w:val="16"/>
              </w:rPr>
              <w:t>Üniversite ve program</w:t>
            </w:r>
          </w:p>
        </w:tc>
        <w:tc>
          <w:tcPr>
            <w:tcW w:type="dxa" w:w="8136"/>
            <w:vAlign w:val="center"/>
          </w:tcPr>
          <w:p>
            <w:pPr>
              <w:spacing w:after="20" w:line="240" w:lineRule="auto"/>
            </w:pPr>
            <w:r/>
            <w:r>
              <w:rPr>
                <w:rFonts w:ascii="Arial" w:hAnsi="Arial"/>
                <w:b w:val="0"/>
                <w:sz w:val="16"/>
              </w:rPr>
              <w:t>[Yürütücünün kayıtlı olduğu üniversite, fakülte ve program]</w:t>
            </w:r>
          </w:p>
        </w:tc>
      </w:tr>
      <w:tr>
        <w:trPr>
          <w:cantSplit/>
        </w:trPr>
        <w:tc>
          <w:tcPr>
            <w:tcW w:type="dxa" w:w="2232"/>
            <w:vAlign w:val="center"/>
            <w:shd w:fill="F4F7FA"/>
          </w:tcPr>
          <w:p>
            <w:pPr>
              <w:spacing w:after="20" w:line="240" w:lineRule="auto"/>
            </w:pPr>
            <w:r/>
            <w:r>
              <w:rPr>
                <w:rFonts w:ascii="Arial" w:hAnsi="Arial"/>
                <w:b w:val="0"/>
                <w:sz w:val="16"/>
              </w:rPr>
              <w:t>Bilimsel alan</w:t>
            </w:r>
          </w:p>
        </w:tc>
        <w:tc>
          <w:tcPr>
            <w:tcW w:type="dxa" w:w="8136"/>
            <w:vAlign w:val="center"/>
            <w:shd w:fill="F4F7FA"/>
          </w:tcPr>
          <w:p>
            <w:pPr>
              <w:spacing w:after="20" w:line="240" w:lineRule="auto"/>
            </w:pPr>
            <w:r/>
            <w:r>
              <w:rPr>
                <w:rFonts w:ascii="Arial" w:hAnsi="Arial"/>
                <w:b w:val="0"/>
                <w:sz w:val="16"/>
              </w:rPr>
              <w:t>[TYBS sınıflandırmasından danışmanla birlikte seçilecek]</w:t>
            </w:r>
          </w:p>
        </w:tc>
      </w:tr>
      <w:tr>
        <w:trPr>
          <w:cantSplit/>
        </w:trPr>
        <w:tc>
          <w:tcPr>
            <w:tcW w:type="dxa" w:w="2232"/>
            <w:vAlign w:val="center"/>
          </w:tcPr>
          <w:p>
            <w:pPr>
              <w:spacing w:after="20" w:line="240" w:lineRule="auto"/>
            </w:pPr>
            <w:r/>
            <w:r>
              <w:rPr>
                <w:rFonts w:ascii="Arial" w:hAnsi="Arial"/>
                <w:b w:val="0"/>
                <w:sz w:val="16"/>
              </w:rPr>
              <w:t>Proje süresi</w:t>
            </w:r>
          </w:p>
        </w:tc>
        <w:tc>
          <w:tcPr>
            <w:tcW w:type="dxa" w:w="8136"/>
            <w:vAlign w:val="center"/>
          </w:tcPr>
          <w:p>
            <w:pPr>
              <w:spacing w:after="20" w:line="240" w:lineRule="auto"/>
            </w:pPr>
            <w:r/>
            <w:r>
              <w:rPr>
                <w:rFonts w:ascii="Arial" w:hAnsi="Arial"/>
                <w:b w:val="0"/>
                <w:sz w:val="16"/>
              </w:rPr>
              <w:t>12 ay; başlangıç tarihi destek kararı ve TYBS takvimi doğrultusunda belirlenecek</w:t>
            </w:r>
          </w:p>
        </w:tc>
      </w:tr>
      <w:tr>
        <w:trPr>
          <w:cantSplit/>
        </w:trPr>
        <w:tc>
          <w:tcPr>
            <w:tcW w:type="dxa" w:w="2232"/>
            <w:vAlign w:val="center"/>
            <w:shd w:fill="F4F7FA"/>
          </w:tcPr>
          <w:p>
            <w:pPr>
              <w:spacing w:after="20" w:line="240" w:lineRule="auto"/>
            </w:pPr>
            <w:r/>
            <w:r>
              <w:rPr>
                <w:rFonts w:ascii="Arial" w:hAnsi="Arial"/>
                <w:b w:val="0"/>
                <w:sz w:val="16"/>
              </w:rPr>
              <w:t>Anahtar kelimeler</w:t>
            </w:r>
          </w:p>
        </w:tc>
        <w:tc>
          <w:tcPr>
            <w:tcW w:type="dxa" w:w="8136"/>
            <w:vAlign w:val="center"/>
            <w:shd w:fill="F4F7FA"/>
          </w:tcPr>
          <w:p>
            <w:pPr>
              <w:spacing w:after="20" w:line="240" w:lineRule="auto"/>
            </w:pPr>
            <w:r/>
            <w:r>
              <w:rPr>
                <w:rFonts w:ascii="Arial" w:hAnsi="Arial"/>
                <w:b w:val="0"/>
                <w:sz w:val="16"/>
              </w:rPr>
              <w:t>GNSS; spoofing; jamming; ölçüm tutarlılığı; alıcı profili; code-minus-carrier</w:t>
            </w:r>
          </w:p>
        </w:tc>
      </w:tr>
    </w:tbl>
    <w:p>
      <w:pPr>
        <w:spacing w:after="20"/>
      </w:pPr>
    </w:p>
    <w:p>
      <w:pPr>
        <w:pStyle w:val="Heading1"/>
      </w:pPr>
      <w:r>
        <w:t>Özet</w:t>
      </w:r>
    </w:p>
    <w:p>
      <w:pPr>
        <w:keepLines/>
        <w:widowControl/>
      </w:pPr>
      <w:r>
        <w:rPr>
          <w:rFonts w:ascii="Arial" w:hAnsi="Arial"/>
          <w:i w:val="0"/>
        </w:rPr>
        <w:t>Küresel uydu seyrüsefer sistemlerine (GNSS) yönelik spoofing ve jamming farklı tehditlerdir; alıcının dışarı verdiği ölçümler her iki durumda da tek başına saldırı nedenini kanıtlamaz. Bu projede, farklı kayıt biçimlerinden ortak gözlem şemasına dönüştürülen GNSS verilerinde ölçüm tutarsızlığı izleme yöntemlerinin veri kaynağı, gözlenebilir ölçütler ve alıcı profiline göre nasıl davrandığı incelenecektir. Araştırma, mevcut bir yazılım prototipinin bağımsız performans iddiası olarak değil, tekrarlanabilir kayıt temelli değerlendirme olarak tasarlanmıştır. Önce veri kaynakları, zaman çizelgeleri, ölçüm alanları ve lisans bilgileri manifestlerle kaydedilecek; kod, karar eşikleri ve değerlendirme protokolü test verileri açılmadan dondurulacaktır. Kaynağa özgü adaptörler zaman, birim, geçerli fix ve eksik ölçümleri koruyarak ortak şemaya aktarılacak; alıcı profilleri yalnızca ayrı normal kalibrasyon oturumlarından üretilecektir. Önceden ayrılmış test kayıtlarında ölçüm kapsamı, olay düzeyinde yeni alarm, kaçırılan olay ve ilk alarm gecikmesi raporlanacak; yanlış alarm oranı yalnızca veri sağlayıcısı veya bağımsız protokolce doğrulanmış temiz süreler için hesaplanacaktır. Mevcut TEXBAT ve Jammertest sonuçları ön çalışma niteliğindedir; aynı kayıtlar geliştirme ve ayarlamada kullanıldığı için bağımsız başarı kanıtı sayılmayacaktır. Yeni alıcıya ait bağımsız veri sağlanamazsa sonuçlar mevcut kayıtlarla sınırlı keşifsel bulgu olarak sunulacaktır. Proje sonunda sürümlenmiş veri sözlüğü, tekrar çalıştırılabilir değerlendirme betikleri ve alıcı/veri kapsamını açıkça belirten bir araştırma raporu hazırlanacaktır.</w:t>
      </w:r>
    </w:p>
    <w:p>
      <w:pPr>
        <w:widowControl/>
      </w:pPr>
      <w:r>
        <w:rPr>
          <w:rFonts w:ascii="Arial" w:hAnsi="Arial"/>
          <w:i/>
          <w:color w:val="5B6573"/>
          <w:sz w:val="16"/>
        </w:rPr>
        <w:t>Özet uzunluğu: 192 kelime (2026 çağrısı: 25-450 kelime).</w:t>
      </w:r>
    </w:p>
    <w:p>
      <w:pPr>
        <w:pStyle w:val="Heading1"/>
      </w:pPr>
      <w:r>
        <w:t>1 Araştırma önerisinin bilimsel niteliği</w:t>
      </w:r>
    </w:p>
    <w:p>
      <w:pPr>
        <w:pStyle w:val="Heading2"/>
      </w:pPr>
      <w:r>
        <w:t>1.1 Konunun önemi ve bilimsel niteliği</w:t>
      </w:r>
    </w:p>
    <w:p>
      <w:pPr>
        <w:spacing w:after="40"/>
      </w:pPr>
      <w:r>
        <w:rPr>
          <w:rFonts w:ascii="Arial" w:hAnsi="Arial"/>
          <w:i/>
          <w:color w:val="5B6573"/>
          <w:sz w:val="16"/>
        </w:rPr>
        <w:t>TYBS metni (1,513 karakter; asgari 350)</w:t>
      </w:r>
    </w:p>
    <w:p>
      <w:pPr>
        <w:keepLines/>
        <w:widowControl/>
      </w:pPr>
      <w:r>
        <w:rPr>
          <w:rFonts w:ascii="Arial" w:hAnsi="Arial"/>
          <w:i w:val="0"/>
        </w:rPr>
        <w:t>GNSS spoofing, alıcının yanlış fakat makul görünebilen ölçümlere yönelmesine; jamming ise sinyal hizmetinin bozulmasına yol açabilir. Bu iki tehdit ayrı değerlendirilmelidir. Literatür, tespit gücünün alıcı içi sinyal ölçütlerine, kod-taşıyıcı bilgisine, navigasyon artıklarına ve bağımsız sensörlere erişime bağlı olduğunu; alıcıya özgü normal dağılım ve açık yanlış alarm değerlendirmesinin önemini vurgular [1, 2]. Code-minus-carrier (CMC) eğimleri yardımcı tutarsızlık göstergesi olabilir; multipath, iyonosfer, gürültü ve alıcı işleminden de etkilenebildiğinden tek başına saldırı kanıtı değildir [3, 4]. Prototipin mevcut TEXBAT değerlendirmesi ham RF IQ yerine yayımlanmış işlenmiş GRID NAV ve kanal ölçümlerini kullanır. Jammertest NAV-PVT kayıtlarında C/N0 bulunmadığı için bu kaynakta RF/VAE özellikleri değerlendirilemez. Bu farklılıklar aynı algılayıcı skorlarını tüm veri biçimlerine taşımayı sakıncalı kılar. Araştırma sorusu şudur: “GNSS kayıtlarındaki gözlenebilir ölçütler, veri kaynağı ve alıcıya özgü normal profil, ortak bir tutarsızlık izleme prototipinin ölçüm kapsamını ve olay düzeyindeki alarm davranışını nasıl etkiler?” Çalışmanın özgün yönü yeni bir evrensel saldırı algılayıcısı iddia etmek değil; alan eksiklerini, profil kalibrasyonunu, zaman belirsizliğini ve olay düzeyindeki sonuçları önceden tanımlanmış bir protokolle birlikte incelemektir. Mevcut kayıtlarla elde edilen bulgular keşifseldir; farklı alıcıya genelleme ancak önceden ayrılmış bağımsız kayıtla sınanabilir [5, 6].</w:t>
      </w:r>
    </w:p>
    <w:p>
      <w:pPr>
        <w:pStyle w:val="Heading2"/>
      </w:pPr>
      <w:r>
        <w:t>1.2 Amaç ve hedefler</w:t>
      </w:r>
    </w:p>
    <w:p>
      <w:pPr>
        <w:spacing w:after="40"/>
      </w:pPr>
      <w:r>
        <w:rPr>
          <w:rFonts w:ascii="Arial" w:hAnsi="Arial"/>
          <w:i/>
          <w:color w:val="5B6573"/>
          <w:sz w:val="16"/>
        </w:rPr>
        <w:t>TYBS metni (1,141 karakter; asgari 350)</w:t>
      </w:r>
    </w:p>
    <w:p>
      <w:pPr>
        <w:keepLines/>
        <w:widowControl/>
      </w:pPr>
      <w:r>
        <w:rPr>
          <w:rFonts w:ascii="Arial" w:hAnsi="Arial"/>
          <w:i w:val="0"/>
        </w:rPr>
        <w:t>Projenin amacı, heterojen GNSS kayıtlarında mevcut ölçüm tutarlılığı izleme bileşenlerinin hangi veri ve alıcı koşullarında değerlendirilebilir olduğunu ölçmek ve sınırlamalarını tekrarlanabilir biçimde raporlamaktır. İlk hedef, en az iki farklı kayıt/ölçüm sözleşmesi için alan, birim, zaman ve fix-geçerliliği eşlemesini kaynak manifestleriyle belgelemektir. İkinci hedef, normal profilin eğitim ve doğrulama/test verilerinin oturum bazında ayrıldığı bir protokol kurmak; test kayıtlarından eşik veya profil seçimi yapmamaktır. Üçüncü hedef, önceden doğrulanmış saldırı zaman çizelgeleri bulunan kayıtlarda olay düzeyinde yeni alarmı, kaçırılan olayları ve ilk alarm gecikmesini; doğrulanmış temiz oturumlarda temiz süre başına alarmı raporlamaktır. Dördüncü hedef, C/N0, CMC, fix geçerliliği ve bağımsız navigasyon ölçümlerinin mevcut olmadığı kaynaklarda hangi ölçütlerin çalıştırılamadığını göstermek ve bu eksikliği kestirimle doldurmamaktır. Başarı, algılayıcının her saldırıyı yakalaması değil; veri ve yöntem ayrımının korunması, analizlerin yeniden üretilebilmesi ve sonuçların kanıt kapsamına uygun raporlanması olarak tanımlanır.</w:t>
      </w:r>
    </w:p>
    <w:p>
      <w:pPr>
        <w:pStyle w:val="Heading1"/>
      </w:pPr>
      <w:r>
        <w:t>2 Yöntem</w:t>
      </w:r>
    </w:p>
    <w:p>
      <w:pPr>
        <w:pStyle w:val="Heading2"/>
      </w:pPr>
      <w:r>
        <w:t>Yöntem</w:t>
      </w:r>
    </w:p>
    <w:p>
      <w:pPr>
        <w:spacing w:after="40"/>
      </w:pPr>
      <w:r>
        <w:rPr>
          <w:rFonts w:ascii="Arial" w:hAnsi="Arial"/>
          <w:i/>
          <w:color w:val="5B6573"/>
          <w:sz w:val="16"/>
        </w:rPr>
        <w:t>TYBS metni (1,473 karakter; asgari 350)</w:t>
      </w:r>
    </w:p>
    <w:p>
      <w:pPr>
        <w:keepLines/>
        <w:widowControl/>
      </w:pPr>
      <w:r>
        <w:rPr>
          <w:rFonts w:ascii="Arial" w:hAnsi="Arial"/>
          <w:i w:val="0"/>
        </w:rPr>
        <w:t>Araştırma, kayıt temelli ve karşılaştırmalı bir değerlendirmedir. Bağımsız değişkenler veri kaynağı/formatı, ölçüt alanlarının bulunabilirliği (PVT, hız, fix durumu, C/N0, pseudorange ve taşıyıcı fazı) ve alıcı profili kullanımıdır. Bağımlı çıktılar geçerli örnek kapsamı, her olayda saldırı başlangıcından sonra oluşan ilk yeni alarmın varlığı, olay düzeyinde kaçırma ve tespit gecikmesi; doğrulanmış normal oturumlarda ise alarm/temiz saat oranıdır. Bir alarm saldırı türünü tek başına doğrulamaz. Kod sürümü, yapılandırma, profil, kaynak dosya SHA-256 değerleri, olay zaman çizelgesi ve metrik tanımları testten önce dondurulacaktır. Saldırı etiketleri model girdisine verilmeyecek; yalnız sonuçları zaman pencereleriyle karşılaştırmak için kullanılacaktır. Zaman damgaları UTC'ye çevrilecek, ölçüm birimleri kaynak sözleşmesine göre doğrulanacak, fix kaybı ve eksik alanlar korunacak, geçersiz örnekler gerekçesiyle kaydedilecektir. Profil oluşturulacaksa normal eğitim ve doğrulama oturumları, kilitli test oturumundan ve mümkün olduğunda farklı kayıtlardan ayrılacaktır. Sonuçlar önce kayıt ve alıcı bazında raporlanacak; olay oranları için sayılar ve uygun güven aralıkları, gecikmeler için dağılım/ortanca verilecektir. Yanlış alarm oranı ancak sertifikalı veya protokolce doğrulanmış temiz zaman paydası varsa hesaplanacaktır. Aynı veri üzerinde eşik ayarı sonrası alınan skorlar keşifsel sayılacak; bağımsız veri yoksa genelleme iddiası kurulmayacaktır [2, 5, 7].</w:t>
      </w:r>
    </w:p>
    <w:p>
      <w:pPr>
        <w:pStyle w:val="Heading2"/>
        <w:widowControl/>
      </w:pPr>
      <w:r>
        <w:rPr>
          <w:rFonts w:ascii="Arial" w:hAnsi="Arial"/>
          <w:i w:val="0"/>
        </w:rPr>
        <w:t>Ön çalışma ve yöntem sınırı</w:t>
      </w:r>
    </w:p>
    <w:p>
      <w:pPr>
        <w:widowControl/>
      </w:pPr>
      <w:r>
        <w:rPr>
          <w:rFonts w:ascii="Arial" w:hAnsi="Arial"/>
          <w:i w:val="0"/>
        </w:rPr>
        <w:t>Mevcut raporlardaki ön çalışma ölçümleri başvuruya başarı iddiası olarak taşınmamıştır. Jammertest 2024 replay'inde 33 kayıtlı olayın 12'sinde saldırı başlangıcından sonra yeni alarm kenarı oluşmuş; bu olaylarda ortanca gecikme 428,3 saniye ölçülmüştür. Veri sağlayıcının olay dışı aralıkları sertifikalı temiz olmadığından yanlış alarm oranı hesaplanmamıştır. TEXBAT güncel replay'inde DS2 kapsamı %99,77 ve ilk yeni alarm gecikmesi 0,90 saniye; DS7 kapsamı %98,49 ve gecikme 5,60 saniyedir. DS3'te alarm saldırı başlangıcında zaten etkin olduğundan yeni alarm gecikmesi ölçülememiştir. Bu kayıtların profili/parametreleri geliştirme sürecinde incelendiğinden sonuçlar aynı benchmark için keşifseldir ve bağımsız test değildir. Proje öncesinde bu raporlarla ölçüm ve kod sürümü danışmanla tekrar doğrulanacaktır.</w:t>
      </w:r>
    </w:p>
    <w:p>
      <w:pPr>
        <w:pStyle w:val="Heading1"/>
      </w:pPr>
      <w:r>
        <w:t>3 Proje yönetimi</w:t>
      </w:r>
    </w:p>
    <w:p>
      <w:pPr>
        <w:pStyle w:val="Heading2"/>
      </w:pPr>
      <w:r>
        <w:t>3.1 Çalışma takvimi</w:t>
      </w:r>
    </w:p>
    <w:p>
      <w:pPr>
        <w:widowControl/>
      </w:pPr>
      <w:r>
        <w:rPr>
          <w:rFonts w:ascii="Arial" w:hAnsi="Arial"/>
          <w:i w:val="0"/>
          <w:sz w:val="18"/>
        </w:rPr>
        <w:t>İş paketlerinin başarı ağırlıkları toplamı %100'dür. Aylar destek kararını izleyen proje başlangıcına göre planlanmıştır.</w:t>
      </w:r>
    </w:p>
    <w:tbl>
      <w:tblPr>
        <w:tblStyle w:val="TableGrid"/>
        <w:tblW w:type="auto" w:w="0"/>
        <w:tblLayout w:type="fixed"/>
        <w:tblLook w:firstColumn="1" w:firstRow="1" w:lastColumn="0" w:lastRow="0" w:noHBand="0" w:noVBand="1" w:val="04A0"/>
      </w:tblPr>
      <w:tblGrid>
        <w:gridCol w:w="2541"/>
        <w:gridCol w:w="2541"/>
        <w:gridCol w:w="2541"/>
        <w:gridCol w:w="2541"/>
      </w:tblGrid>
      <w:tr>
        <w:trPr>
          <w:tblHeader w:val="true"/>
          <w:cantSplit/>
        </w:trPr>
        <w:tc>
          <w:tcPr>
            <w:tcW w:type="dxa" w:w="2088"/>
            <w:vAlign w:val="center"/>
            <w:shd w:fill="17365D"/>
          </w:tcPr>
          <w:p>
            <w:pPr>
              <w:spacing w:after="20" w:line="240" w:lineRule="auto"/>
            </w:pPr>
            <w:r/>
            <w:r>
              <w:rPr>
                <w:rFonts w:ascii="Arial" w:hAnsi="Arial"/>
                <w:b/>
                <w:color w:val="FFFFFF"/>
                <w:sz w:val="15"/>
              </w:rPr>
              <w:t>İş adımı</w:t>
            </w:r>
          </w:p>
        </w:tc>
        <w:tc>
          <w:tcPr>
            <w:tcW w:type="dxa" w:w="1037"/>
            <w:vAlign w:val="center"/>
            <w:shd w:fill="17365D"/>
          </w:tcPr>
          <w:p>
            <w:pPr>
              <w:spacing w:after="20" w:line="240" w:lineRule="auto"/>
            </w:pPr>
            <w:r/>
            <w:r>
              <w:rPr>
                <w:rFonts w:ascii="Arial" w:hAnsi="Arial"/>
                <w:b/>
                <w:color w:val="FFFFFF"/>
                <w:sz w:val="15"/>
              </w:rPr>
              <w:t>Süre</w:t>
            </w:r>
          </w:p>
        </w:tc>
        <w:tc>
          <w:tcPr>
            <w:tcW w:type="dxa" w:w="6307"/>
            <w:vAlign w:val="center"/>
            <w:shd w:fill="17365D"/>
          </w:tcPr>
          <w:p>
            <w:pPr>
              <w:spacing w:after="20" w:line="240" w:lineRule="auto"/>
            </w:pPr>
            <w:r/>
            <w:r>
              <w:rPr>
                <w:rFonts w:ascii="Arial" w:hAnsi="Arial"/>
                <w:b/>
                <w:color w:val="FFFFFF"/>
                <w:sz w:val="15"/>
              </w:rPr>
              <w:t>Başarı ölçütü ve doğrulama</w:t>
            </w:r>
          </w:p>
        </w:tc>
        <w:tc>
          <w:tcPr>
            <w:tcW w:type="dxa" w:w="691"/>
            <w:vAlign w:val="center"/>
            <w:shd w:fill="17365D"/>
          </w:tcPr>
          <w:p>
            <w:pPr>
              <w:spacing w:after="20" w:line="240" w:lineRule="auto"/>
            </w:pPr>
            <w:r/>
            <w:r>
              <w:rPr>
                <w:rFonts w:ascii="Arial" w:hAnsi="Arial"/>
                <w:b/>
                <w:color w:val="FFFFFF"/>
                <w:sz w:val="15"/>
              </w:rPr>
              <w:t>Ağırlık</w:t>
            </w:r>
          </w:p>
        </w:tc>
      </w:tr>
      <w:tr>
        <w:trPr>
          <w:cantSplit/>
        </w:trPr>
        <w:tc>
          <w:tcPr>
            <w:tcW w:type="dxa" w:w="2088"/>
            <w:vAlign w:val="center"/>
          </w:tcPr>
          <w:p>
            <w:pPr>
              <w:spacing w:after="20" w:line="240" w:lineRule="auto"/>
            </w:pPr>
            <w:r/>
            <w:r>
              <w:rPr>
                <w:rFonts w:ascii="Arial" w:hAnsi="Arial"/>
                <w:b w:val="0"/>
                <w:sz w:val="15"/>
              </w:rPr>
              <w:t>1. Veri ve protokol dondurma</w:t>
            </w:r>
          </w:p>
        </w:tc>
        <w:tc>
          <w:tcPr>
            <w:tcW w:type="dxa" w:w="1037"/>
            <w:vAlign w:val="center"/>
          </w:tcPr>
          <w:p>
            <w:pPr>
              <w:spacing w:after="20" w:line="240" w:lineRule="auto"/>
            </w:pPr>
            <w:r/>
            <w:r>
              <w:rPr>
                <w:rFonts w:ascii="Arial" w:hAnsi="Arial"/>
                <w:b w:val="0"/>
                <w:sz w:val="15"/>
              </w:rPr>
              <w:t>Ay 1-2</w:t>
            </w:r>
          </w:p>
        </w:tc>
        <w:tc>
          <w:tcPr>
            <w:tcW w:type="dxa" w:w="6307"/>
            <w:vAlign w:val="center"/>
          </w:tcPr>
          <w:p>
            <w:pPr>
              <w:spacing w:after="20" w:line="240" w:lineRule="auto"/>
            </w:pPr>
            <w:r/>
            <w:r>
              <w:rPr>
                <w:rFonts w:ascii="Arial" w:hAnsi="Arial"/>
                <w:b w:val="0"/>
                <w:sz w:val="15"/>
              </w:rPr>
              <w:t>Kullanılacak her kaynak için kimlik, lisans, SHA-256, alan sözlüğü ve olay zaman çizelgesi kaydedilir; analiz protokolü ve metrik tanımları test çıktıları incelenmeden yazılı olarak dondurulur.</w:t>
            </w:r>
          </w:p>
        </w:tc>
        <w:tc>
          <w:tcPr>
            <w:tcW w:type="dxa" w:w="691"/>
            <w:vAlign w:val="center"/>
          </w:tcPr>
          <w:p>
            <w:pPr>
              <w:spacing w:after="20" w:line="240" w:lineRule="auto"/>
            </w:pPr>
            <w:r/>
            <w:r>
              <w:rPr>
                <w:rFonts w:ascii="Arial" w:hAnsi="Arial"/>
                <w:b w:val="0"/>
                <w:sz w:val="15"/>
              </w:rPr>
              <w:t>%15</w:t>
            </w:r>
          </w:p>
        </w:tc>
      </w:tr>
      <w:tr>
        <w:trPr>
          <w:cantSplit/>
        </w:trPr>
        <w:tc>
          <w:tcPr>
            <w:tcW w:type="dxa" w:w="2088"/>
            <w:vAlign w:val="center"/>
            <w:shd w:fill="F4F7FA"/>
          </w:tcPr>
          <w:p>
            <w:pPr>
              <w:spacing w:after="20" w:line="240" w:lineRule="auto"/>
            </w:pPr>
            <w:r/>
            <w:r>
              <w:rPr>
                <w:rFonts w:ascii="Arial" w:hAnsi="Arial"/>
                <w:b w:val="0"/>
                <w:sz w:val="15"/>
              </w:rPr>
              <w:t>2. Kaynak adaptörleri ve kalite kontrolü</w:t>
            </w:r>
          </w:p>
        </w:tc>
        <w:tc>
          <w:tcPr>
            <w:tcW w:type="dxa" w:w="1037"/>
            <w:vAlign w:val="center"/>
            <w:shd w:fill="F4F7FA"/>
          </w:tcPr>
          <w:p>
            <w:pPr>
              <w:spacing w:after="20" w:line="240" w:lineRule="auto"/>
            </w:pPr>
            <w:r/>
            <w:r>
              <w:rPr>
                <w:rFonts w:ascii="Arial" w:hAnsi="Arial"/>
                <w:b w:val="0"/>
                <w:sz w:val="15"/>
              </w:rPr>
              <w:t>Ay 2-4</w:t>
            </w:r>
          </w:p>
        </w:tc>
        <w:tc>
          <w:tcPr>
            <w:tcW w:type="dxa" w:w="6307"/>
            <w:vAlign w:val="center"/>
            <w:shd w:fill="F4F7FA"/>
          </w:tcPr>
          <w:p>
            <w:pPr>
              <w:spacing w:after="20" w:line="240" w:lineRule="auto"/>
            </w:pPr>
            <w:r/>
            <w:r>
              <w:rPr>
                <w:rFonts w:ascii="Arial" w:hAnsi="Arial"/>
                <w:b w:val="0"/>
                <w:sz w:val="15"/>
              </w:rPr>
              <w:t>En az iki veri sözleşmesi ortak gözlem şemasına aktarılır. Zaman, birim, eksik alan ve fix-geçerliliği testleri geçer; reddedilen veya dönüştürülemeyen her örnek gerekçesiyle sayılır.</w:t>
            </w:r>
          </w:p>
        </w:tc>
        <w:tc>
          <w:tcPr>
            <w:tcW w:type="dxa" w:w="691"/>
            <w:vAlign w:val="center"/>
            <w:shd w:fill="F4F7FA"/>
          </w:tcPr>
          <w:p>
            <w:pPr>
              <w:spacing w:after="20" w:line="240" w:lineRule="auto"/>
            </w:pPr>
            <w:r/>
            <w:r>
              <w:rPr>
                <w:rFonts w:ascii="Arial" w:hAnsi="Arial"/>
                <w:b w:val="0"/>
                <w:sz w:val="15"/>
              </w:rPr>
              <w:t>%20</w:t>
            </w:r>
          </w:p>
        </w:tc>
      </w:tr>
      <w:tr>
        <w:trPr>
          <w:cantSplit/>
        </w:trPr>
        <w:tc>
          <w:tcPr>
            <w:tcW w:type="dxa" w:w="2088"/>
            <w:vAlign w:val="center"/>
          </w:tcPr>
          <w:p>
            <w:pPr>
              <w:spacing w:after="20" w:line="240" w:lineRule="auto"/>
            </w:pPr>
            <w:r/>
            <w:r>
              <w:rPr>
                <w:rFonts w:ascii="Arial" w:hAnsi="Arial"/>
                <w:b w:val="0"/>
                <w:sz w:val="15"/>
              </w:rPr>
              <w:t>3. Alıcı profili ayrımı</w:t>
            </w:r>
          </w:p>
        </w:tc>
        <w:tc>
          <w:tcPr>
            <w:tcW w:type="dxa" w:w="1037"/>
            <w:vAlign w:val="center"/>
          </w:tcPr>
          <w:p>
            <w:pPr>
              <w:spacing w:after="20" w:line="240" w:lineRule="auto"/>
            </w:pPr>
            <w:r/>
            <w:r>
              <w:rPr>
                <w:rFonts w:ascii="Arial" w:hAnsi="Arial"/>
                <w:b w:val="0"/>
                <w:sz w:val="15"/>
              </w:rPr>
              <w:t>Ay 4-6</w:t>
            </w:r>
          </w:p>
        </w:tc>
        <w:tc>
          <w:tcPr>
            <w:tcW w:type="dxa" w:w="6307"/>
            <w:vAlign w:val="center"/>
          </w:tcPr>
          <w:p>
            <w:pPr>
              <w:spacing w:after="20" w:line="240" w:lineRule="auto"/>
            </w:pPr>
            <w:r/>
            <w:r>
              <w:rPr>
                <w:rFonts w:ascii="Arial" w:hAnsi="Arial"/>
                <w:b w:val="0"/>
                <w:sz w:val="15"/>
              </w:rPr>
              <w:t>Normal profil yalnızca tanımlanmış eğitim oturumundan üretilir; doğrulama ve test verisi ayrı oturum/kayıt olarak manifestte izlenir. Ayrım sağlanamazsa profil sonucu keşifsel olarak işaretlenir.</w:t>
            </w:r>
          </w:p>
        </w:tc>
        <w:tc>
          <w:tcPr>
            <w:tcW w:type="dxa" w:w="691"/>
            <w:vAlign w:val="center"/>
          </w:tcPr>
          <w:p>
            <w:pPr>
              <w:spacing w:after="20" w:line="240" w:lineRule="auto"/>
            </w:pPr>
            <w:r/>
            <w:r>
              <w:rPr>
                <w:rFonts w:ascii="Arial" w:hAnsi="Arial"/>
                <w:b w:val="0"/>
                <w:sz w:val="15"/>
              </w:rPr>
              <w:t>%20</w:t>
            </w:r>
          </w:p>
        </w:tc>
      </w:tr>
      <w:tr>
        <w:trPr>
          <w:cantSplit/>
        </w:trPr>
        <w:tc>
          <w:tcPr>
            <w:tcW w:type="dxa" w:w="2088"/>
            <w:vAlign w:val="center"/>
            <w:shd w:fill="F4F7FA"/>
          </w:tcPr>
          <w:p>
            <w:pPr>
              <w:spacing w:after="20" w:line="240" w:lineRule="auto"/>
            </w:pPr>
            <w:r/>
            <w:r>
              <w:rPr>
                <w:rFonts w:ascii="Arial" w:hAnsi="Arial"/>
                <w:b w:val="0"/>
                <w:sz w:val="15"/>
              </w:rPr>
              <w:t>4. Kilitli olay ve temiz oturum değerlendirmesi</w:t>
            </w:r>
          </w:p>
        </w:tc>
        <w:tc>
          <w:tcPr>
            <w:tcW w:type="dxa" w:w="1037"/>
            <w:vAlign w:val="center"/>
            <w:shd w:fill="F4F7FA"/>
          </w:tcPr>
          <w:p>
            <w:pPr>
              <w:spacing w:after="20" w:line="240" w:lineRule="auto"/>
            </w:pPr>
            <w:r/>
            <w:r>
              <w:rPr>
                <w:rFonts w:ascii="Arial" w:hAnsi="Arial"/>
                <w:b w:val="0"/>
                <w:sz w:val="15"/>
              </w:rPr>
              <w:t>Ay 7-10</w:t>
            </w:r>
          </w:p>
        </w:tc>
        <w:tc>
          <w:tcPr>
            <w:tcW w:type="dxa" w:w="6307"/>
            <w:vAlign w:val="center"/>
            <w:shd w:fill="F4F7FA"/>
          </w:tcPr>
          <w:p>
            <w:pPr>
              <w:spacing w:after="20" w:line="240" w:lineRule="auto"/>
            </w:pPr>
            <w:r/>
            <w:r>
              <w:rPr>
                <w:rFonts w:ascii="Arial" w:hAnsi="Arial"/>
                <w:b w:val="0"/>
                <w:sz w:val="15"/>
              </w:rPr>
              <w:t>Önceden etiketlenmiş olay pencereleri ve doğrulanmış temiz süreler ayrı analiz edilir. Olay düzeyinde yeni alarm, kaçırma ve gecikme; temiz oturumda yalnızca geçerli temiz payda varsa alarm/saat raporlanır.</w:t>
            </w:r>
          </w:p>
        </w:tc>
        <w:tc>
          <w:tcPr>
            <w:tcW w:type="dxa" w:w="691"/>
            <w:vAlign w:val="center"/>
            <w:shd w:fill="F4F7FA"/>
          </w:tcPr>
          <w:p>
            <w:pPr>
              <w:spacing w:after="20" w:line="240" w:lineRule="auto"/>
            </w:pPr>
            <w:r/>
            <w:r>
              <w:rPr>
                <w:rFonts w:ascii="Arial" w:hAnsi="Arial"/>
                <w:b w:val="0"/>
                <w:sz w:val="15"/>
              </w:rPr>
              <w:t>%30</w:t>
            </w:r>
          </w:p>
        </w:tc>
      </w:tr>
      <w:tr>
        <w:trPr>
          <w:cantSplit/>
        </w:trPr>
        <w:tc>
          <w:tcPr>
            <w:tcW w:type="dxa" w:w="2088"/>
            <w:vAlign w:val="center"/>
          </w:tcPr>
          <w:p>
            <w:pPr>
              <w:spacing w:after="20" w:line="240" w:lineRule="auto"/>
            </w:pPr>
            <w:r/>
            <w:r>
              <w:rPr>
                <w:rFonts w:ascii="Arial" w:hAnsi="Arial"/>
                <w:b w:val="0"/>
                <w:sz w:val="15"/>
              </w:rPr>
              <w:t>5. Tekrarlanabilir analiz paketi</w:t>
            </w:r>
          </w:p>
        </w:tc>
        <w:tc>
          <w:tcPr>
            <w:tcW w:type="dxa" w:w="1037"/>
            <w:vAlign w:val="center"/>
          </w:tcPr>
          <w:p>
            <w:pPr>
              <w:spacing w:after="20" w:line="240" w:lineRule="auto"/>
            </w:pPr>
            <w:r/>
            <w:r>
              <w:rPr>
                <w:rFonts w:ascii="Arial" w:hAnsi="Arial"/>
                <w:b w:val="0"/>
                <w:sz w:val="15"/>
              </w:rPr>
              <w:t>Ay 10-12</w:t>
            </w:r>
          </w:p>
        </w:tc>
        <w:tc>
          <w:tcPr>
            <w:tcW w:type="dxa" w:w="6307"/>
            <w:vAlign w:val="center"/>
          </w:tcPr>
          <w:p>
            <w:pPr>
              <w:spacing w:after="20" w:line="240" w:lineRule="auto"/>
            </w:pPr>
            <w:r/>
            <w:r>
              <w:rPr>
                <w:rFonts w:ascii="Arial" w:hAnsi="Arial"/>
                <w:b w:val="0"/>
                <w:sz w:val="15"/>
              </w:rPr>
              <w:t>Sürüm, yapılandırma, manifest ve sonuç tablolarıyla aynı metrikleri yeniden üreten betikler hazırlanır; bulgular, başarısızlıklar ve kapsam sınırları birlikte raporlanır.</w:t>
            </w:r>
          </w:p>
        </w:tc>
        <w:tc>
          <w:tcPr>
            <w:tcW w:type="dxa" w:w="691"/>
            <w:vAlign w:val="center"/>
          </w:tcPr>
          <w:p>
            <w:pPr>
              <w:spacing w:after="20" w:line="240" w:lineRule="auto"/>
            </w:pPr>
            <w:r/>
            <w:r>
              <w:rPr>
                <w:rFonts w:ascii="Arial" w:hAnsi="Arial"/>
                <w:b w:val="0"/>
                <w:sz w:val="15"/>
              </w:rPr>
              <w:t>%15</w:t>
            </w:r>
          </w:p>
        </w:tc>
      </w:tr>
    </w:tbl>
    <w:p>
      <w:pPr>
        <w:spacing w:after="20"/>
      </w:pPr>
    </w:p>
    <w:p>
      <w:pPr>
        <w:pStyle w:val="Heading2"/>
      </w:pPr>
      <w:r>
        <w:t>3.2 Risk yönetimi</w:t>
      </w:r>
    </w:p>
    <w:tbl>
      <w:tblPr>
        <w:tblStyle w:val="TableGrid"/>
        <w:tblW w:type="auto" w:w="0"/>
        <w:tblLayout w:type="fixed"/>
        <w:tblLook w:firstColumn="1" w:firstRow="1" w:lastColumn="0" w:lastRow="0" w:noHBand="0" w:noVBand="1" w:val="04A0"/>
      </w:tblPr>
      <w:tblGrid>
        <w:gridCol w:w="3389"/>
        <w:gridCol w:w="3389"/>
        <w:gridCol w:w="3389"/>
      </w:tblGrid>
      <w:tr>
        <w:trPr>
          <w:tblHeader w:val="true"/>
          <w:cantSplit/>
        </w:trPr>
        <w:tc>
          <w:tcPr>
            <w:tcW w:type="dxa" w:w="2448"/>
            <w:vAlign w:val="center"/>
            <w:shd w:fill="17365D"/>
          </w:tcPr>
          <w:p>
            <w:pPr>
              <w:spacing w:after="20" w:line="240" w:lineRule="auto"/>
            </w:pPr>
            <w:r/>
            <w:r>
              <w:rPr>
                <w:rFonts w:ascii="Arial" w:hAnsi="Arial"/>
                <w:b/>
                <w:color w:val="FFFFFF"/>
                <w:sz w:val="15"/>
              </w:rPr>
              <w:t>Risk</w:t>
            </w:r>
          </w:p>
        </w:tc>
        <w:tc>
          <w:tcPr>
            <w:tcW w:type="dxa" w:w="3168"/>
            <w:vAlign w:val="center"/>
            <w:shd w:fill="17365D"/>
          </w:tcPr>
          <w:p>
            <w:pPr>
              <w:spacing w:after="20" w:line="240" w:lineRule="auto"/>
            </w:pPr>
            <w:r/>
            <w:r>
              <w:rPr>
                <w:rFonts w:ascii="Arial" w:hAnsi="Arial"/>
                <w:b/>
                <w:color w:val="FFFFFF"/>
                <w:sz w:val="15"/>
              </w:rPr>
              <w:t>Olasılık / etki</w:t>
            </w:r>
          </w:p>
        </w:tc>
        <w:tc>
          <w:tcPr>
            <w:tcW w:type="dxa" w:w="4464"/>
            <w:vAlign w:val="center"/>
            <w:shd w:fill="17365D"/>
          </w:tcPr>
          <w:p>
            <w:pPr>
              <w:spacing w:after="20" w:line="240" w:lineRule="auto"/>
            </w:pPr>
            <w:r/>
            <w:r>
              <w:rPr>
                <w:rFonts w:ascii="Arial" w:hAnsi="Arial"/>
                <w:b/>
                <w:color w:val="FFFFFF"/>
                <w:sz w:val="15"/>
              </w:rPr>
              <w:t>B planı</w:t>
            </w:r>
          </w:p>
        </w:tc>
      </w:tr>
      <w:tr>
        <w:trPr>
          <w:cantSplit/>
        </w:trPr>
        <w:tc>
          <w:tcPr>
            <w:tcW w:type="dxa" w:w="2448"/>
            <w:vAlign w:val="center"/>
          </w:tcPr>
          <w:p>
            <w:pPr>
              <w:spacing w:after="20" w:line="240" w:lineRule="auto"/>
            </w:pPr>
            <w:r/>
            <w:r>
              <w:rPr>
                <w:rFonts w:ascii="Arial" w:hAnsi="Arial"/>
                <w:b w:val="0"/>
                <w:sz w:val="15"/>
              </w:rPr>
              <w:t>Yeni ve bağımsız alıcı kaydının veya 2025 Jammertest dosyalarının zamanında edinilememesi</w:t>
            </w:r>
          </w:p>
        </w:tc>
        <w:tc>
          <w:tcPr>
            <w:tcW w:type="dxa" w:w="3168"/>
            <w:vAlign w:val="center"/>
          </w:tcPr>
          <w:p>
            <w:pPr>
              <w:spacing w:after="20" w:line="240" w:lineRule="auto"/>
            </w:pPr>
            <w:r/>
            <w:r>
              <w:rPr>
                <w:rFonts w:ascii="Arial" w:hAnsi="Arial"/>
                <w:b w:val="0"/>
                <w:sz w:val="15"/>
              </w:rPr>
              <w:t>Orta / yüksek. Mevcut 2024 Jammertest, TEXBAT ve CMU kayıtları önceki geliştirme/değerlendirmelerde incelendi.</w:t>
            </w:r>
          </w:p>
        </w:tc>
        <w:tc>
          <w:tcPr>
            <w:tcW w:type="dxa" w:w="4464"/>
            <w:vAlign w:val="center"/>
          </w:tcPr>
          <w:p>
            <w:pPr>
              <w:spacing w:after="20" w:line="240" w:lineRule="auto"/>
            </w:pPr>
            <w:r/>
            <w:r>
              <w:rPr>
                <w:rFonts w:ascii="Arial" w:hAnsi="Arial"/>
                <w:b w:val="0"/>
                <w:sz w:val="15"/>
              </w:rPr>
              <w:t>Öncelikle veri erişimi ve kurum laboratuvarındaki yeni normal oturum imkânı başlangıçta doğrulanır. Bağımsız test sağlanamazsa çalışma, yeniden analiz ve veri-kapsamı karşılaştırması olarak sınırlandırılır; bağımsız başarı veya çapraz-alıcı genelleme iddiası verilmez.</w:t>
            </w:r>
          </w:p>
        </w:tc>
      </w:tr>
      <w:tr>
        <w:trPr>
          <w:cantSplit/>
        </w:trPr>
        <w:tc>
          <w:tcPr>
            <w:tcW w:type="dxa" w:w="2448"/>
            <w:vAlign w:val="center"/>
            <w:shd w:fill="F4F7FA"/>
          </w:tcPr>
          <w:p>
            <w:pPr>
              <w:spacing w:after="20" w:line="240" w:lineRule="auto"/>
            </w:pPr>
            <w:r/>
            <w:r>
              <w:rPr>
                <w:rFonts w:ascii="Arial" w:hAnsi="Arial"/>
                <w:b w:val="0"/>
                <w:sz w:val="15"/>
              </w:rPr>
              <w:t>Saldırı zaman çizelgesi veya kaynak saati belirsizliği</w:t>
            </w:r>
          </w:p>
        </w:tc>
        <w:tc>
          <w:tcPr>
            <w:tcW w:type="dxa" w:w="3168"/>
            <w:vAlign w:val="center"/>
            <w:shd w:fill="F4F7FA"/>
          </w:tcPr>
          <w:p>
            <w:pPr>
              <w:spacing w:after="20" w:line="240" w:lineRule="auto"/>
            </w:pPr>
            <w:r/>
            <w:r>
              <w:rPr>
                <w:rFonts w:ascii="Arial" w:hAnsi="Arial"/>
                <w:b w:val="0"/>
                <w:sz w:val="15"/>
              </w:rPr>
              <w:t>Orta / yüksek. Bazı kaynaklarda olay logu saati ile ölçüm saati farklı olabilir.</w:t>
            </w:r>
          </w:p>
        </w:tc>
        <w:tc>
          <w:tcPr>
            <w:tcW w:type="dxa" w:w="4464"/>
            <w:vAlign w:val="center"/>
            <w:shd w:fill="F4F7FA"/>
          </w:tcPr>
          <w:p>
            <w:pPr>
              <w:spacing w:after="20" w:line="240" w:lineRule="auto"/>
            </w:pPr>
            <w:r/>
            <w:r>
              <w:rPr>
                <w:rFonts w:ascii="Arial" w:hAnsi="Arial"/>
                <w:b w:val="0"/>
                <w:sz w:val="15"/>
              </w:rPr>
              <w:t>Kaynak yayıncı belgeleri ve bağımsız zaman çizelgesi karşılaştırılır; uyuşmaz zamanlar ayrı senaryo olarak raporlanır. Güvenilir başlangıç/bitiş yoksa tespit gecikmesi hesaplanmaz.</w:t>
            </w:r>
          </w:p>
        </w:tc>
      </w:tr>
      <w:tr>
        <w:trPr>
          <w:cantSplit/>
        </w:trPr>
        <w:tc>
          <w:tcPr>
            <w:tcW w:type="dxa" w:w="2448"/>
            <w:vAlign w:val="center"/>
          </w:tcPr>
          <w:p>
            <w:pPr>
              <w:spacing w:after="20" w:line="240" w:lineRule="auto"/>
            </w:pPr>
            <w:r/>
            <w:r>
              <w:rPr>
                <w:rFonts w:ascii="Arial" w:hAnsi="Arial"/>
                <w:b w:val="0"/>
                <w:sz w:val="15"/>
              </w:rPr>
              <w:t>C/N0, CMC, IMU veya temiz etiketlerin kaynakta bulunmaması</w:t>
            </w:r>
          </w:p>
        </w:tc>
        <w:tc>
          <w:tcPr>
            <w:tcW w:type="dxa" w:w="3168"/>
            <w:vAlign w:val="center"/>
          </w:tcPr>
          <w:p>
            <w:pPr>
              <w:spacing w:after="20" w:line="240" w:lineRule="auto"/>
            </w:pPr>
            <w:r/>
            <w:r>
              <w:rPr>
                <w:rFonts w:ascii="Arial" w:hAnsi="Arial"/>
                <w:b w:val="0"/>
                <w:sz w:val="15"/>
              </w:rPr>
              <w:t>Yüksek / orta. Gözlenebilirler veri kümesine göre değişir.</w:t>
            </w:r>
          </w:p>
        </w:tc>
        <w:tc>
          <w:tcPr>
            <w:tcW w:type="dxa" w:w="4464"/>
            <w:vAlign w:val="center"/>
          </w:tcPr>
          <w:p>
            <w:pPr>
              <w:spacing w:after="20" w:line="240" w:lineRule="auto"/>
            </w:pPr>
            <w:r/>
            <w:r>
              <w:rPr>
                <w:rFonts w:ascii="Arial" w:hAnsi="Arial"/>
                <w:b w:val="0"/>
                <w:sz w:val="15"/>
              </w:rPr>
              <w:t>Eksik alan üretilmez ve başka kaynaktan doldurulmaz. Yalnızca mevcut ölçüt alt kümesi değerlendirilir; metrik kapsamı her veri kaynağı için ayrı verilir.</w:t>
            </w:r>
          </w:p>
        </w:tc>
      </w:tr>
      <w:tr>
        <w:trPr>
          <w:cantSplit/>
        </w:trPr>
        <w:tc>
          <w:tcPr>
            <w:tcW w:type="dxa" w:w="2448"/>
            <w:vAlign w:val="center"/>
            <w:shd w:fill="F4F7FA"/>
          </w:tcPr>
          <w:p>
            <w:pPr>
              <w:spacing w:after="20" w:line="240" w:lineRule="auto"/>
            </w:pPr>
            <w:r/>
            <w:r>
              <w:rPr>
                <w:rFonts w:ascii="Arial" w:hAnsi="Arial"/>
                <w:b w:val="0"/>
                <w:sz w:val="15"/>
              </w:rPr>
              <w:t>Sabit yöntemin saldırıları kaçırması veya temiz kayıtta alarm üretmesi</w:t>
            </w:r>
          </w:p>
        </w:tc>
        <w:tc>
          <w:tcPr>
            <w:tcW w:type="dxa" w:w="3168"/>
            <w:vAlign w:val="center"/>
            <w:shd w:fill="F4F7FA"/>
          </w:tcPr>
          <w:p>
            <w:pPr>
              <w:spacing w:after="20" w:line="240" w:lineRule="auto"/>
            </w:pPr>
            <w:r/>
            <w:r>
              <w:rPr>
                <w:rFonts w:ascii="Arial" w:hAnsi="Arial"/>
                <w:b w:val="0"/>
                <w:sz w:val="15"/>
              </w:rPr>
              <w:t>Orta / yüksek. Ön çalışma bu olasılığı göstermiştir.</w:t>
            </w:r>
          </w:p>
        </w:tc>
        <w:tc>
          <w:tcPr>
            <w:tcW w:type="dxa" w:w="4464"/>
            <w:vAlign w:val="center"/>
            <w:shd w:fill="F4F7FA"/>
          </w:tcPr>
          <w:p>
            <w:pPr>
              <w:spacing w:after="20" w:line="240" w:lineRule="auto"/>
            </w:pPr>
            <w:r/>
            <w:r>
              <w:rPr>
                <w:rFonts w:ascii="Arial" w:hAnsi="Arial"/>
                <w:b w:val="0"/>
                <w:sz w:val="15"/>
              </w:rPr>
              <w:t>Sonuç gizlenmeden raporlanır. Kilitli test verisine bakarak eşik değiştirilmez; yeni parametre denenirse yeni sürüm ayrı ve yeni bağımsız kayıtla değerlendirilir.</w:t>
            </w:r>
          </w:p>
        </w:tc>
      </w:tr>
      <w:tr>
        <w:trPr>
          <w:cantSplit/>
        </w:trPr>
        <w:tc>
          <w:tcPr>
            <w:tcW w:type="dxa" w:w="2448"/>
            <w:vAlign w:val="center"/>
          </w:tcPr>
          <w:p>
            <w:pPr>
              <w:spacing w:after="20" w:line="240" w:lineRule="auto"/>
            </w:pPr>
            <w:r/>
            <w:r>
              <w:rPr>
                <w:rFonts w:ascii="Arial" w:hAnsi="Arial"/>
                <w:b w:val="0"/>
                <w:sz w:val="15"/>
              </w:rPr>
              <w:t>Kaynak lisansı veya veri indirme erişiminin sınırlı olması</w:t>
            </w:r>
          </w:p>
        </w:tc>
        <w:tc>
          <w:tcPr>
            <w:tcW w:type="dxa" w:w="3168"/>
            <w:vAlign w:val="center"/>
          </w:tcPr>
          <w:p>
            <w:pPr>
              <w:spacing w:after="20" w:line="240" w:lineRule="auto"/>
            </w:pPr>
            <w:r/>
            <w:r>
              <w:rPr>
                <w:rFonts w:ascii="Arial" w:hAnsi="Arial"/>
                <w:b w:val="0"/>
                <w:sz w:val="15"/>
              </w:rPr>
              <w:t>Orta / orta.</w:t>
            </w:r>
          </w:p>
        </w:tc>
        <w:tc>
          <w:tcPr>
            <w:tcW w:type="dxa" w:w="4464"/>
            <w:vAlign w:val="center"/>
          </w:tcPr>
          <w:p>
            <w:pPr>
              <w:spacing w:after="20" w:line="240" w:lineRule="auto"/>
            </w:pPr>
            <w:r/>
            <w:r>
              <w:rPr>
                <w:rFonts w:ascii="Arial" w:hAnsi="Arial"/>
                <w:b w:val="0"/>
                <w:sz w:val="15"/>
              </w:rPr>
              <w:t>Yalnız izin verilen kayıtlar işlenir; dağıtımda verinin kendisi yerine kaynak bağlantısı, lisans ve SHA-256 manifesti paylaşılır. Erişim yoksa kapsam resmi ve yerelde doğrulanmış kaynaklara indirilir.</w:t>
            </w:r>
          </w:p>
        </w:tc>
      </w:tr>
    </w:tbl>
    <w:p>
      <w:pPr>
        <w:spacing w:after="20"/>
      </w:pPr>
    </w:p>
    <w:p>
      <w:pPr>
        <w:pStyle w:val="Heading2"/>
      </w:pPr>
      <w:r>
        <w:t>3.3 Araştırma olanakları</w:t>
      </w:r>
    </w:p>
    <w:tbl>
      <w:tblPr>
        <w:tblStyle w:val="TableGrid"/>
        <w:tblW w:type="auto" w:w="0"/>
        <w:tblLayout w:type="fixed"/>
        <w:tblLook w:firstColumn="1" w:firstRow="1" w:lastColumn="0" w:lastRow="0" w:noHBand="0" w:noVBand="1" w:val="04A0"/>
      </w:tblPr>
      <w:tblGrid>
        <w:gridCol w:w="3389"/>
        <w:gridCol w:w="3389"/>
        <w:gridCol w:w="3389"/>
      </w:tblGrid>
      <w:tr>
        <w:trPr>
          <w:tblHeader w:val="true"/>
          <w:cantSplit/>
        </w:trPr>
        <w:tc>
          <w:tcPr>
            <w:tcW w:type="dxa" w:w="2304"/>
            <w:vAlign w:val="center"/>
            <w:shd w:fill="17365D"/>
          </w:tcPr>
          <w:p>
            <w:pPr>
              <w:spacing w:after="20" w:line="240" w:lineRule="auto"/>
            </w:pPr>
            <w:r/>
            <w:r>
              <w:rPr>
                <w:rFonts w:ascii="Arial" w:hAnsi="Arial"/>
                <w:b/>
                <w:color w:val="FFFFFF"/>
                <w:sz w:val="15"/>
              </w:rPr>
              <w:t>Olanak</w:t>
            </w:r>
          </w:p>
        </w:tc>
        <w:tc>
          <w:tcPr>
            <w:tcW w:type="dxa" w:w="4032"/>
            <w:vAlign w:val="center"/>
            <w:shd w:fill="17365D"/>
          </w:tcPr>
          <w:p>
            <w:pPr>
              <w:spacing w:after="20" w:line="240" w:lineRule="auto"/>
            </w:pPr>
            <w:r/>
            <w:r>
              <w:rPr>
                <w:rFonts w:ascii="Arial" w:hAnsi="Arial"/>
                <w:b/>
                <w:color w:val="FFFFFF"/>
                <w:sz w:val="15"/>
              </w:rPr>
              <w:t>Projede kullanım</w:t>
            </w:r>
          </w:p>
        </w:tc>
        <w:tc>
          <w:tcPr>
            <w:tcW w:type="dxa" w:w="3744"/>
            <w:vAlign w:val="center"/>
            <w:shd w:fill="17365D"/>
          </w:tcPr>
          <w:p>
            <w:pPr>
              <w:spacing w:after="20" w:line="240" w:lineRule="auto"/>
            </w:pPr>
            <w:r/>
            <w:r>
              <w:rPr>
                <w:rFonts w:ascii="Arial" w:hAnsi="Arial"/>
                <w:b/>
                <w:color w:val="FFFFFF"/>
                <w:sz w:val="15"/>
              </w:rPr>
              <w:t>Doğrulama</w:t>
            </w:r>
          </w:p>
        </w:tc>
      </w:tr>
      <w:tr>
        <w:trPr>
          <w:cantSplit/>
        </w:trPr>
        <w:tc>
          <w:tcPr>
            <w:tcW w:type="dxa" w:w="2304"/>
            <w:vAlign w:val="center"/>
          </w:tcPr>
          <w:p>
            <w:pPr>
              <w:spacing w:after="20" w:line="240" w:lineRule="auto"/>
            </w:pPr>
            <w:r/>
            <w:r>
              <w:rPr>
                <w:rFonts w:ascii="Arial" w:hAnsi="Arial"/>
                <w:b w:val="0"/>
                <w:sz w:val="15"/>
              </w:rPr>
              <w:t>Mevcut GNSS analiz prototipi ve kaynak kodu</w:t>
            </w:r>
          </w:p>
        </w:tc>
        <w:tc>
          <w:tcPr>
            <w:tcW w:type="dxa" w:w="4032"/>
            <w:vAlign w:val="center"/>
          </w:tcPr>
          <w:p>
            <w:pPr>
              <w:spacing w:after="20" w:line="240" w:lineRule="auto"/>
            </w:pPr>
            <w:r/>
            <w:r>
              <w:rPr>
                <w:rFonts w:ascii="Arial" w:hAnsi="Arial"/>
                <w:b w:val="0"/>
                <w:sz w:val="15"/>
              </w:rPr>
              <w:t>Kaynak adaptörleri, alıcı profili, ölçüt hesapları ve tekrar çalıştırılabilir analiz.</w:t>
            </w:r>
          </w:p>
        </w:tc>
        <w:tc>
          <w:tcPr>
            <w:tcW w:type="dxa" w:w="3744"/>
            <w:vAlign w:val="center"/>
          </w:tcPr>
          <w:p>
            <w:pPr>
              <w:spacing w:after="20" w:line="240" w:lineRule="auto"/>
            </w:pPr>
            <w:r/>
            <w:r>
              <w:rPr>
                <w:rFonts w:ascii="Arial" w:hAnsi="Arial"/>
                <w:b w:val="0"/>
                <w:sz w:val="15"/>
              </w:rPr>
              <w:t>Öğrenci ve danışman mevcut sürümü, yazılım lisansını ve proje kullanım iznini doğrulamalı.</w:t>
            </w:r>
          </w:p>
        </w:tc>
      </w:tr>
      <w:tr>
        <w:trPr>
          <w:cantSplit/>
        </w:trPr>
        <w:tc>
          <w:tcPr>
            <w:tcW w:type="dxa" w:w="2304"/>
            <w:vAlign w:val="center"/>
            <w:shd w:fill="F4F7FA"/>
          </w:tcPr>
          <w:p>
            <w:pPr>
              <w:spacing w:after="20" w:line="240" w:lineRule="auto"/>
            </w:pPr>
            <w:r/>
            <w:r>
              <w:rPr>
                <w:rFonts w:ascii="Arial" w:hAnsi="Arial"/>
                <w:b w:val="0"/>
                <w:sz w:val="15"/>
              </w:rPr>
              <w:t>Bilgisayar ve yazılım ortamı</w:t>
            </w:r>
          </w:p>
        </w:tc>
        <w:tc>
          <w:tcPr>
            <w:tcW w:type="dxa" w:w="4032"/>
            <w:vAlign w:val="center"/>
            <w:shd w:fill="F4F7FA"/>
          </w:tcPr>
          <w:p>
            <w:pPr>
              <w:spacing w:after="20" w:line="240" w:lineRule="auto"/>
            </w:pPr>
            <w:r/>
            <w:r>
              <w:rPr>
                <w:rFonts w:ascii="Arial" w:hAnsi="Arial"/>
                <w:b w:val="0"/>
                <w:sz w:val="15"/>
              </w:rPr>
              <w:t>Kayıt replay'i, tablo analizi ve sonuç üretimi; çalışma yerel bilgisayarda yürütülebilir.</w:t>
            </w:r>
          </w:p>
        </w:tc>
        <w:tc>
          <w:tcPr>
            <w:tcW w:type="dxa" w:w="3744"/>
            <w:vAlign w:val="center"/>
            <w:shd w:fill="F4F7FA"/>
          </w:tcPr>
          <w:p>
            <w:pPr>
              <w:spacing w:after="20" w:line="240" w:lineRule="auto"/>
            </w:pPr>
            <w:r/>
            <w:r>
              <w:rPr>
                <w:rFonts w:ascii="Arial" w:hAnsi="Arial"/>
                <w:b w:val="0"/>
                <w:sz w:val="15"/>
              </w:rPr>
              <w:t>Bellek, disk alanı ve kurumsal erişim imkânları başvuru öncesi envanterden teyit edilmeli.</w:t>
            </w:r>
          </w:p>
        </w:tc>
      </w:tr>
      <w:tr>
        <w:trPr>
          <w:cantSplit/>
        </w:trPr>
        <w:tc>
          <w:tcPr>
            <w:tcW w:type="dxa" w:w="2304"/>
            <w:vAlign w:val="center"/>
          </w:tcPr>
          <w:p>
            <w:pPr>
              <w:spacing w:after="20" w:line="240" w:lineRule="auto"/>
            </w:pPr>
            <w:r/>
            <w:r>
              <w:rPr>
                <w:rFonts w:ascii="Arial" w:hAnsi="Arial"/>
                <w:b w:val="0"/>
                <w:sz w:val="15"/>
              </w:rPr>
              <w:t>Yayımlanmış kayıtlar</w:t>
            </w:r>
          </w:p>
        </w:tc>
        <w:tc>
          <w:tcPr>
            <w:tcW w:type="dxa" w:w="4032"/>
            <w:vAlign w:val="center"/>
          </w:tcPr>
          <w:p>
            <w:pPr>
              <w:spacing w:after="20" w:line="240" w:lineRule="auto"/>
            </w:pPr>
            <w:r/>
            <w:r>
              <w:rPr>
                <w:rFonts w:ascii="Arial" w:hAnsi="Arial"/>
                <w:b w:val="0"/>
                <w:sz w:val="15"/>
              </w:rPr>
              <w:t>TEXBAT işlenmiş GRID ölçümleri, Jammertest NAV-PVT/event kayıtları ve yalnız pilot/ön çalışma amacıyla ilgili CMU kayıtları.</w:t>
            </w:r>
          </w:p>
        </w:tc>
        <w:tc>
          <w:tcPr>
            <w:tcW w:type="dxa" w:w="3744"/>
            <w:vAlign w:val="center"/>
          </w:tcPr>
          <w:p>
            <w:pPr>
              <w:spacing w:after="20" w:line="240" w:lineRule="auto"/>
            </w:pPr>
            <w:r/>
            <w:r>
              <w:rPr>
                <w:rFonts w:ascii="Arial" w:hAnsi="Arial"/>
                <w:b w:val="0"/>
                <w:sz w:val="15"/>
              </w:rPr>
              <w:t>Dosya listesi, lisans, SHA-256 ve her kaydın geliştirme/test statüsü yeniden doğrulanmalı. Yeni bağımsız kayıt erişimi garanti edilmemiştir.</w:t>
            </w:r>
          </w:p>
        </w:tc>
      </w:tr>
      <w:tr>
        <w:trPr>
          <w:cantSplit/>
        </w:trPr>
        <w:tc>
          <w:tcPr>
            <w:tcW w:type="dxa" w:w="2304"/>
            <w:vAlign w:val="center"/>
            <w:shd w:fill="F4F7FA"/>
          </w:tcPr>
          <w:p>
            <w:pPr>
              <w:spacing w:after="20" w:line="240" w:lineRule="auto"/>
            </w:pPr>
            <w:r/>
            <w:r>
              <w:rPr>
                <w:rFonts w:ascii="Arial" w:hAnsi="Arial"/>
                <w:b w:val="0"/>
                <w:sz w:val="15"/>
              </w:rPr>
              <w:t>Laboratuvar / GNSS donanımı</w:t>
            </w:r>
          </w:p>
        </w:tc>
        <w:tc>
          <w:tcPr>
            <w:tcW w:type="dxa" w:w="4032"/>
            <w:vAlign w:val="center"/>
            <w:shd w:fill="F4F7FA"/>
          </w:tcPr>
          <w:p>
            <w:pPr>
              <w:spacing w:after="20" w:line="240" w:lineRule="auto"/>
            </w:pPr>
            <w:r/>
            <w:r>
              <w:rPr>
                <w:rFonts w:ascii="Arial" w:hAnsi="Arial"/>
                <w:b w:val="0"/>
                <w:sz w:val="15"/>
              </w:rPr>
              <w:t>Yeni normal oturum veya bağımsız alıcı kaydı gerekecekse kullanılabilir altyapı.</w:t>
            </w:r>
          </w:p>
        </w:tc>
        <w:tc>
          <w:tcPr>
            <w:tcW w:type="dxa" w:w="3744"/>
            <w:vAlign w:val="center"/>
            <w:shd w:fill="F4F7FA"/>
          </w:tcPr>
          <w:p>
            <w:pPr>
              <w:spacing w:after="20" w:line="240" w:lineRule="auto"/>
            </w:pPr>
            <w:r/>
            <w:r>
              <w:rPr>
                <w:rFonts w:ascii="Arial" w:hAnsi="Arial"/>
                <w:b w:val="0"/>
                <w:sz w:val="15"/>
              </w:rPr>
              <w:t>[Danışman ve bölüm tarafından laboratuvar, alıcı, referans sensör ve güvenli ölçüm ortamı doğrulanacak.]</w:t>
            </w:r>
          </w:p>
        </w:tc>
      </w:tr>
    </w:tbl>
    <w:p>
      <w:pPr>
        <w:spacing w:after="20"/>
      </w:pPr>
    </w:p>
    <w:p>
      <w:pPr>
        <w:pStyle w:val="Heading1"/>
      </w:pPr>
      <w:r>
        <w:t>4 Araştırma önerisinin yaygın etkisi</w:t>
      </w:r>
    </w:p>
    <w:p>
      <w:pPr>
        <w:widowControl/>
      </w:pPr>
      <w:r>
        <w:rPr>
          <w:rFonts w:ascii="Arial" w:hAnsi="Arial"/>
          <w:i w:val="0"/>
        </w:rPr>
        <w:t>Proje, farklı GNSS kayıtlarının aynı adla değerlendirilmesinin doğurabileceği kapsam ve kalibrasyon sorunlarını ölçülebilir biçimde görünür kılacaktır. Beklenen çıktılar; (i) kaynak, lisans, birim, zaman ve alan kapsamını açıklayan bir veri sözlüğü ve manifest, (ii) ölçüm dönüşümlerini doğrulayan testler ve tekrar çalıştırılabilir analiz betikleri, (iii) kayıt ve alıcı bazında olay kapsamı, gecikme ve yalnızca doğrulanmış temiz sürelerde yanlış alarm ölçümlerini içeren bir değerlendirme raporu, (iv) öğrencinin GNSS veri işleme, deney tasarımı ve bilimsel raporlama becerilerinin gelişmesidir. Paylaşım izni bulunan kod ve analiz yönergeleri açık depoda yayımlanabilir; üçüncü taraf veri dosyaları lisansları izin vermedikçe yeniden dağıtılmayacaktır. Bulgular, yüksek tespit başarısı veya sahada güvenli kullanım iddiası şeklinde sunulmayacaktır. Sonuçların sonraki bağımsız alıcı deneylerine yöntem ve veri gereksinimi sağlaması beklenir; bu proje tek başına uçuş emniyeti veya operasyonel koruma sağlamaz.</w:t>
      </w:r>
    </w:p>
    <w:p>
      <w:pPr>
        <w:pStyle w:val="Heading1"/>
      </w:pPr>
      <w:r>
        <w:t>5 Belirtmek istediğiniz diğer konular</w:t>
      </w:r>
    </w:p>
    <w:p>
      <w:pPr>
        <w:widowControl/>
      </w:pPr>
      <w:r>
        <w:rPr>
          <w:rFonts w:ascii="Arial" w:hAnsi="Arial"/>
          <w:i w:val="0"/>
        </w:rPr>
        <w:t>Bu çalışma canlı RF yayını, açık havada girişim üretimi, uçuş kontrolü veya insan katılımcı içermeyen çevrimdışı kayıt analizidir. İnsan katılımcı ya da kişisel iletişim verisi kullanılmayacaktır. GPS/konum kayıtları hassas olabileceğinden, yalnızca kullanım izni olan veri işlenecek; paylaşımda gerekli olmayan kesin koordinatlar yayımlanmayacak ve veri lisansına uyulacaktır. Etik kurul gerekliliği konusunda nihai kararı yürütücü kurumun ilgili kurulu verir; başvuru öncesinde danışmanla teyit edilmelidir. TEXBAT ve Jammertest sonuçları etiketli saldırı aralıklarıyla sınırlıdır; normal verinin tüm zamanları saldırısız kabul edilmez. Prototipteki alarm, GNSS tutarsızlığı göstergesidir ve tek başına spoofing veya jamming nedenini ispatlamaz. Bağımsız IMU/yönelim ve yeni alıcı holdout'u bulunmadıkça kinematik saldırı doğrulaması ve çapraz-alıcı genelleme iddiası kurulmayacaktır.</w:t>
      </w:r>
    </w:p>
    <w:p>
      <w:pPr>
        <w:pStyle w:val="Heading1"/>
      </w:pPr>
      <w:r>
        <w:t>6 Kaynaklar</w:t>
      </w:r>
    </w:p>
    <w:p>
      <w:pPr>
        <w:spacing w:after="60"/>
        <w:ind w:left="317" w:hanging="173"/>
      </w:pPr>
      <w:r>
        <w:t>[1] M. L. Psiaki ve T. E. Humphreys, “GNSS Spoofing and Detection,” Proceedings of the IEEE, 104(6), 1258-1270, 2016. DOI: 10.1109/JPROC.2016.2526658.</w:t>
      </w:r>
    </w:p>
    <w:p>
      <w:pPr>
        <w:spacing w:after="60"/>
        <w:ind w:left="317" w:hanging="173"/>
      </w:pPr>
      <w:r>
        <w:t>[2] F. Rothmaier, L. Taleghani, Y.-H. Chen, S. Lo, E. Phelts ve T. Walter, “GNSS Spoofing Detection through Metric Combinations: Calibration and Application of a General Framework,” Proceedings of ION GNSS+ 2021, 4249-4263. DOI: 10.33012/2021.18126.</w:t>
      </w:r>
    </w:p>
    <w:p>
      <w:pPr>
        <w:spacing w:after="60"/>
        <w:ind w:left="317" w:hanging="173"/>
      </w:pPr>
      <w:r>
        <w:t>[3] A. M. Khan, N. Iqbal, A. A. Khan, M. F. Khan ve A. Ahmad, “Detection of Intermediate Spoofing Attack on Global Navigation Satellite System Receiver Through Slope Based Metrics,” The Journal of Navigation, 73(5), 1052-1068, 2020. DOI: 10.1017/S0373463320000168.</w:t>
      </w:r>
    </w:p>
    <w:p>
      <w:pPr>
        <w:spacing w:after="60"/>
        <w:ind w:left="317" w:hanging="173"/>
      </w:pPr>
      <w:r>
        <w:t>[4] Q. Li ve diğerleri, “Intrinsic Identification and Mitigation of Multipath for Enhanced GNSS Positioning,” Sensors, 21(1), 188, 2021. DOI: 10.3390/s21010188.</w:t>
      </w:r>
    </w:p>
    <w:p>
      <w:pPr>
        <w:spacing w:after="60"/>
        <w:ind w:left="317" w:hanging="173"/>
      </w:pPr>
      <w:r>
        <w:t>[5] T. E. Humphreys ve diğerleri, “The Texas Spoofing Test Battery: Toward a Standard for Evaluating GPS Signal Authentication Techniques,” Proceedings of ION GNSS 2012, 3569-3583. Veri ve senaryo açıklaması: UT Austin Radionavigation Laboratory, TEXBAT, https://radionavlab.ae.utexas.edu/texbat/.</w:t>
      </w:r>
    </w:p>
    <w:p>
      <w:pPr>
        <w:spacing w:after="60"/>
        <w:ind w:left="317" w:hanging="173"/>
      </w:pPr>
      <w:r>
        <w:t>[6] M. Lemmenes ve diğerleri, “Detailed Analysis of the Texas Spoofing Test Battery Using a High Fidelity Software Receiver,” Proceedings of ION GNSS+ 2016. https://radionavlab.ae.utexas.edu/images/stories/files/papers/LemmenesGNSSpaper.pdf.</w:t>
      </w:r>
    </w:p>
    <w:p>
      <w:pPr>
        <w:spacing w:after="60"/>
        <w:ind w:left="317" w:hanging="173"/>
      </w:pPr>
      <w:r>
        <w:t>[7] Finnish Geospatial Research Institute, “FGI Jammertest 2025 GNSS interference dataset,” Fairdata Etsin, 2026. Veri erişimi ve indirme durumu başvuru öncesi tekrar doğrulanacaktır. https://etsin.fairdata.fi/dataset/095782a8-4e31-456e-8719-7021b4c96362.</w:t>
      </w:r>
    </w:p>
    <w:p>
      <w:pPr>
        <w:spacing w:after="60"/>
        <w:ind w:left="317" w:hanging="173"/>
      </w:pPr>
      <w:r>
        <w:t>[8] Jammertest 2024, Zenodo sürüm 3, GNSS interference dataset. DOI: 10.5281/zenodo.15911589. Kullanılan olay zamanları ve kapsam için kaynak belgeleriyle tekrar doğrulama yapılacaktır.</w:t>
      </w:r>
    </w:p>
    <w:p>
      <w:pPr>
        <w:spacing w:after="60"/>
        <w:ind w:left="317" w:hanging="173"/>
      </w:pPr>
      <w:r>
        <w:t>[9] T. A. Rodrigues ve diğerleri, “In-flight positional and energy use data set of a DJI Matrice 100 quadcopter for small package delivery,” Scientific Data, 8, 155, 2021. DOI: 10.1038/s41597-021-00930-x. Bu kayıtlar yalnızca ön çalışma/önceden kullanılmış veri bağlamındadır; bağımsız test olarak sunulmayacaktır.</w:t>
      </w:r>
    </w:p>
    <w:p>
      <w:pPr>
        <w:pStyle w:val="Heading1"/>
      </w:pPr>
      <w:r>
        <w:t>Başvuru öncesi tamamlanacak bilgiler</w:t>
      </w:r>
    </w:p>
    <w:p>
      <w:pPr>
        <w:pStyle w:val="ListBullet"/>
        <w:spacing w:after="40"/>
        <w:ind w:left="317" w:hanging="173"/>
      </w:pPr>
      <w:r>
        <w:t>TYBS / ARBİS kayıtlarındaki öğrenci adı, ortaklar, program, danışman ve akademik alanı doğrulayın. Ek PDF’deki 2024 başvuru bilgilerini GNSS projesine otomatik aktarmayın.</w:t>
      </w:r>
    </w:p>
    <w:p>
      <w:pPr>
        <w:pStyle w:val="ListBullet"/>
        <w:spacing w:after="40"/>
        <w:ind w:left="317" w:hanging="173"/>
      </w:pPr>
      <w:r>
        <w:t>Danışmanla proje kapsamını ve 12 aylık takvimi netleştirin. Özellikle yeni alıcıda bağımsız normal kalibrasyon/test oturumu sağlayıp sağlayamayacağınızı teyit edin.</w:t>
      </w:r>
    </w:p>
    <w:p>
      <w:pPr>
        <w:pStyle w:val="ListBullet"/>
        <w:spacing w:after="40"/>
        <w:ind w:left="317" w:hanging="173"/>
      </w:pPr>
      <w:r>
        <w:t>Jammertest 2025 veya eşdeğer yeni alıcı kaydının erişimini, lisansını ve olay/temiz zaman etiketlerini başvuru öncesinde kontrol edin. Erişim yoksa bu taslaktaki B planı uygulanır ve bağımsız başarı vaadi verilmez.</w:t>
      </w:r>
    </w:p>
    <w:p>
      <w:pPr>
        <w:pStyle w:val="ListBullet"/>
        <w:spacing w:after="40"/>
        <w:ind w:left="317" w:hanging="173"/>
      </w:pPr>
      <w:r>
        <w:t>Bütçe ekranında yalnızca doğrudan gerekli, uygun ve fiyat teklifiyle gerekçelendirilebilen giderleri yazın. 2026 program sayfasındaki üst sınır 12.000 TL'dir; konferans, yayın/patent, konaklama ve yevmiye kalemlerini eklemeyin. Gerçek teklifleri danışman ve kurumla doğrulayın.</w:t>
      </w:r>
    </w:p>
    <w:p>
      <w:pPr>
        <w:pStyle w:val="ListBullet"/>
        <w:spacing w:after="40"/>
        <w:ind w:left="317" w:hanging="173"/>
      </w:pPr>
      <w:r>
        <w:t>TYBS önizlemesinde metin, tablo ve özel karakterlerin doğru aktarıldığını kontrol edin. Başvuru ve danışman onayını son tarihten önce tamamlayın.</w:t>
      </w:r>
    </w:p>
    <w:p>
      <w:pPr>
        <w:pStyle w:val="ListBullet"/>
        <w:spacing w:after="40"/>
        <w:ind w:left="317" w:hanging="173"/>
      </w:pPr>
      <w:r>
        <w:t>Üretken yapay zekâ bu taslağın araştırma önerisi metnini oluşturma ve düzenleme aşamasında kullanıldı. TYBS'deki ÜYZ beyanında bu kullanım dürüstçe açıklanmalı; metin, yöntem ve kaynakların doğruluğunu başvuru sahibi ile danışman kontrol etmelidir.</w:t>
      </w:r>
    </w:p>
    <w:p>
      <w:pPr>
        <w:widowControl/>
      </w:pPr>
      <w:r>
        <w:rPr>
          <w:rFonts w:ascii="Arial" w:hAnsi="Arial"/>
          <w:i/>
          <w:color w:val="5B6573"/>
          <w:sz w:val="17"/>
        </w:rPr>
        <w:t>2026 çağrı takvimi: başvuru ve danışman onayı 11 Kasım 2026 saat 17.30'a kadar; kuruluş yetkilisi e-imza aşaması 16-23 Kasım 2026. Güncel TYBS ekranı ve TÜBİTAK duyurusu başvuru anında yeniden kontrol edilmelidir.</w:t>
      </w:r>
    </w:p>
    <w:sectPr w:rsidR="00FC693F" w:rsidRPr="0006063C" w:rsidSect="00034616">
      <w:headerReference w:type="default" r:id="rId9"/>
      <w:footerReference w:type="default" r:id="rId10"/>
      <w:pgSz w:w="12240" w:h="15840"/>
      <w:pgMar w:top="979"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B6573"/>
        <w:sz w:val="16"/>
      </w:rPr>
      <w:t xml:space="preserve">TYBS alanlarına aktarım için düzenlenebilir çalışma metni  ·  Sayfa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B6573"/>
        <w:sz w:val="16"/>
      </w:rPr>
      <w:t>2209-A  |  GNSS ARAŞTIRMA ÖNERİSİ TASLAĞI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252B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1E6D78"/>
      <w:sz w:val="2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17365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Arial" w:hAnsi="Arial"/>
      <w:b/>
      <w:color w:val="17365D"/>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TÜBİTAK 2209-A GNSS Araştırma Önerisi</dc:title>
  <dc:subject>2026 TYBS alanları için düzenlenebilir metin taslağı</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