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t xml:space="preserve"/>
      </w:r>
    </w:p>
    <w:p>
      <w:pPr>
        <w:spacing w:after="120" w:before="0"/>
      </w:pPr>
      <w:r>
        <w:t xml:space="preserve"/>
      </w:r>
    </w:p>
    <w:p>
      <w:pPr>
        <w:spacing w:after="120" w:before="0"/>
      </w:pPr>
      <w:r>
        <w:t xml:space="preserve"/>
      </w:r>
    </w:p>
    <w:p>
      <w:pPr>
        <w:spacing w:after="120" w:before="0"/>
      </w:pPr>
      <w:r>
        <w:t xml:space="preserve"/>
      </w:r>
    </w:p>
    <w:p>
      <w:pPr>
        <w:spacing w:after="200" w:before="0"/>
        <w:jc w:val="center"/>
      </w:pPr>
      <w:r>
        <w:rPr>
          <w:rFonts w:ascii="Arial" w:cs="Arial" w:eastAsia="Arial" w:hAnsi="Arial"/>
          <w:b/>
          <w:bCs/>
          <w:color w:val="1F4E79"/>
          <w:sz w:val="52"/>
          <w:szCs w:val="52"/>
        </w:rPr>
        <w:t xml:space="preserve">TIME SERIES FORECASTING OF HOUSEHOLD</w:t>
      </w:r>
    </w:p>
    <w:p>
      <w:pPr>
        <w:spacing w:after="200" w:before="0"/>
        <w:jc w:val="center"/>
      </w:pPr>
      <w:r>
        <w:rPr>
          <w:rFonts w:ascii="Arial" w:cs="Arial" w:eastAsia="Arial" w:hAnsi="Arial"/>
          <w:b/>
          <w:bCs/>
          <w:color w:val="1F4E79"/>
          <w:sz w:val="52"/>
          <w:szCs w:val="52"/>
        </w:rPr>
        <w:t xml:space="preserve">ELECTRIC POWER CONSUMPTION</w:t>
      </w:r>
    </w:p>
    <w:p>
      <w:pPr>
        <w:spacing w:after="120" w:before="0"/>
      </w:pPr>
      <w:r>
        <w:t xml:space="preserve"/>
      </w:r>
    </w:p>
    <w:p>
      <w:pPr>
        <w:pBdr>
          <w:bottom w:val="single" w:color="2E75B6" w:sz="6" w:space="1"/>
        </w:pBdr>
        <w:spacing w:after="160" w:before="0"/>
        <w:jc w:val="center"/>
      </w:pPr>
      <w:r>
        <w:rPr>
          <w:rFonts w:ascii="Arial" w:cs="Arial" w:eastAsia="Arial" w:hAnsi="Arial"/>
          <w:b/>
          <w:bCs/>
          <w:color w:val="2E75B6"/>
          <w:sz w:val="30"/>
          <w:szCs w:val="30"/>
        </w:rPr>
        <w:t xml:space="preserve">A Comparative Study of ARIMA and LSTM Models</w:t>
      </w:r>
    </w:p>
    <w:p>
      <w:pPr>
        <w:spacing w:after="120" w:before="0"/>
      </w:pPr>
      <w:r>
        <w:t xml:space="preserve"/>
      </w:r>
    </w:p>
    <w:p>
      <w:pPr>
        <w:spacing w:after="120" w:before="0"/>
      </w:pPr>
      <w:r>
        <w:t xml:space="preserve"/>
      </w:r>
    </w:p>
    <w:p>
      <w:pPr>
        <w:spacing w:after="120" w:before="0"/>
        <w:jc w:val="center"/>
      </w:pPr>
      <w:r>
        <w:rPr>
          <w:rFonts w:ascii="Arial" w:cs="Arial" w:eastAsia="Arial" w:hAnsi="Arial"/>
          <w:color w:val="555555"/>
          <w:sz w:val="26"/>
          <w:szCs w:val="26"/>
        </w:rPr>
        <w:t xml:space="preserve">Machine Learning Project Report</w:t>
      </w:r>
    </w:p>
    <w:p>
      <w:pPr>
        <w:spacing w:after="120" w:before="0"/>
        <w:jc w:val="center"/>
      </w:pPr>
      <w:r>
        <w:rPr>
          <w:rFonts w:ascii="Arial" w:cs="Arial" w:eastAsia="Arial" w:hAnsi="Arial"/>
          <w:color w:val="777777"/>
          <w:sz w:val="22"/>
          <w:szCs w:val="22"/>
        </w:rPr>
        <w:t xml:space="preserve">Dataset: UCI Individual Household Electric Power Consumption (ID: 235)</w:t>
      </w:r>
    </w:p>
    <w:p>
      <w:pPr>
        <w:spacing w:after="120" w:before="0"/>
      </w:pPr>
      <w:r>
        <w:t xml:space="preserve"/>
      </w:r>
    </w:p>
    <w:p>
      <w:pPr>
        <w:spacing w:after="120" w:before="0"/>
      </w:pPr>
      <w:r>
        <w:t xml:space="preserve"/>
      </w:r>
    </w:p>
    <w:p>
      <w:pPr>
        <w:spacing w:after="120" w:before="0"/>
      </w:pPr>
      <w:r>
        <w:t xml:space="preserve"/>
      </w:r>
    </w:p>
    <w:p>
      <w:pPr>
        <w:jc w:val="center"/>
      </w:pPr>
      <w:r>
        <w:rPr>
          <w:rFonts w:ascii="Arial" w:cs="Arial" w:eastAsia="Arial" w:hAnsi="Arial"/>
          <w:b/>
          <w:bCs/>
          <w:color w:val="555555"/>
          <w:sz w:val="24"/>
          <w:szCs w:val="24"/>
        </w:rPr>
        <w:t xml:space="preserve">2025</w:t>
      </w:r>
    </w:p>
    <w:p>
      <w:r>
        <w:br w:type="page"/>
      </w:r>
    </w:p>
    <w:p>
      <w:pPr>
        <w:pStyle w:val="Heading1"/>
        <w:spacing w:after="160" w:before="360"/>
      </w:pPr>
      <w:r>
        <w:rPr>
          <w:rFonts w:ascii="Arial" w:cs="Arial" w:eastAsia="Arial" w:hAnsi="Arial"/>
          <w:b/>
          <w:bCs/>
          <w:color w:val="1F4E79"/>
          <w:sz w:val="32"/>
          <w:szCs w:val="32"/>
        </w:rPr>
        <w:t xml:space="preserve">Abstract</w:t>
      </w:r>
    </w:p>
    <w:p>
      <w:pPr>
        <w:spacing w:after="100" w:before="80"/>
        <w:jc w:val="both"/>
      </w:pPr>
      <w:r>
        <w:rPr>
          <w:rFonts w:ascii="Arial" w:cs="Arial" w:eastAsia="Arial" w:hAnsi="Arial"/>
          <w:sz w:val="22"/>
          <w:szCs w:val="22"/>
        </w:rPr>
        <w:t xml:space="preserve">Electricity demand forecasting is a critical component of intelligent energy management systems. Accurate predictions enable utility providers to reduce power shortages, optimize resource allocation, and maintain grid stability. This project presents a comprehensive comparative study of two time series forecasting approaches: the classical ARIMA (AutoRegressive Integrated Moving Average) model and the deep learning-based LSTM (Long Short-Term Memory) neural network, applied to the UCI Individual Household Electric Power Consumption dataset spanning over four years of minute-level power readings.</w:t>
      </w:r>
    </w:p>
    <w:p>
      <w:pPr>
        <w:spacing w:after="120" w:before="0"/>
      </w:pPr>
      <w:r>
        <w:t xml:space="preserve"/>
      </w:r>
    </w:p>
    <w:p>
      <w:pPr>
        <w:spacing w:after="100" w:before="80"/>
        <w:jc w:val="both"/>
      </w:pPr>
      <w:r>
        <w:rPr>
          <w:rFonts w:ascii="Arial" w:cs="Arial" w:eastAsia="Arial" w:hAnsi="Arial"/>
          <w:sz w:val="22"/>
          <w:szCs w:val="22"/>
        </w:rPr>
        <w:t xml:space="preserve">The dataset was preprocessed to handle missing values, resampled to daily granularity, and analyzed for stationarity, autocorrelation, and seasonal decomposition. ARIMA(5,1,0) was implemented as a statistical baseline, while a two-layer LSTM model with Dropout regularization and Early Stopping was developed as the deep learning approach.</w:t>
      </w:r>
    </w:p>
    <w:p>
      <w:pPr>
        <w:spacing w:after="120" w:before="0"/>
      </w:pPr>
      <w:r>
        <w:t xml:space="preserve"/>
      </w:r>
    </w:p>
    <w:p>
      <w:pPr>
        <w:spacing w:after="100" w:before="80"/>
        <w:jc w:val="both"/>
      </w:pPr>
      <w:r>
        <w:rPr>
          <w:rFonts w:ascii="Arial" w:cs="Arial" w:eastAsia="Arial" w:hAnsi="Arial"/>
          <w:sz w:val="22"/>
          <w:szCs w:val="22"/>
        </w:rPr>
        <w:t xml:space="preserve">Results demonstrate that LSTM significantly outperforms ARIMA across all evaluation metrics. ARIMA achieved an MAE of 0.527, RMSE of 0.600, and MAPE of 72.45%, while LSTM achieved an MAE of 0.177, RMSE of 0.242, and MAPE of 20.23%. These findings confirm that deep learning models are better suited for capturing the nonlinear temporal dependencies inherent in household electricity consumption data.</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1. Introduction</w:t>
      </w:r>
    </w:p>
    <w:p>
      <w:pPr>
        <w:spacing w:after="100" w:before="80"/>
        <w:jc w:val="both"/>
      </w:pPr>
      <w:r>
        <w:rPr>
          <w:rFonts w:ascii="Arial" w:cs="Arial" w:eastAsia="Arial" w:hAnsi="Arial"/>
          <w:sz w:val="22"/>
          <w:szCs w:val="22"/>
        </w:rPr>
        <w:t xml:space="preserve">Electricity is the backbone of modern civilization, powering industries, homes, and critical infrastructure. Electricity demand is highly dynamic, fluctuating due to weather conditions, time of day, seasonal patterns, and socioeconomic factors. In emerging economies, efficient electricity forecasting is especially vital to minimize supply-demand imbalances and reduce operational costs.</w:t>
      </w:r>
    </w:p>
    <w:p>
      <w:pPr>
        <w:spacing w:after="120" w:before="0"/>
      </w:pPr>
      <w:r>
        <w:t xml:space="preserve"/>
      </w:r>
    </w:p>
    <w:p>
      <w:pPr>
        <w:spacing w:after="100" w:before="80"/>
        <w:jc w:val="both"/>
      </w:pPr>
      <w:r>
        <w:rPr>
          <w:rFonts w:ascii="Arial" w:cs="Arial" w:eastAsia="Arial" w:hAnsi="Arial"/>
          <w:sz w:val="22"/>
          <w:szCs w:val="22"/>
        </w:rPr>
        <w:t xml:space="preserve">Traditional statistical forecasting methods such as ARIMA have long been the industry standard for time series prediction. While these models are interpretable and computationally efficient, they are limited in their ability to capture complex nonlinear patterns. With the rapid advancement of deep learning, models like Long Short-Term Memory (LSTM) networks have emerged as powerful alternatives capable of learning long-range temporal dependencies.</w:t>
      </w:r>
    </w:p>
    <w:p>
      <w:pPr>
        <w:spacing w:after="120" w:before="0"/>
      </w:pPr>
      <w:r>
        <w:t xml:space="preserve"/>
      </w:r>
    </w:p>
    <w:p>
      <w:pPr>
        <w:spacing w:after="100" w:before="80"/>
        <w:jc w:val="both"/>
      </w:pPr>
      <w:r>
        <w:rPr>
          <w:rFonts w:ascii="Arial" w:cs="Arial" w:eastAsia="Arial" w:hAnsi="Arial"/>
          <w:sz w:val="22"/>
          <w:szCs w:val="22"/>
        </w:rPr>
        <w:t xml:space="preserve">This project implements and compares both ARIMA and LSTM on the UCI Household Power Consumption dataset, a rich real-world dataset with over two million minute-level records. The goal is to empirically demonstrate the performance gap between classical and modern forecasting approaches and provide actionable insights for energy system planning.</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2. Problem Statement</w:t>
      </w:r>
    </w:p>
    <w:p>
      <w:pPr>
        <w:spacing w:after="100" w:before="80"/>
        <w:jc w:val="both"/>
      </w:pPr>
      <w:r>
        <w:rPr>
          <w:rFonts w:ascii="Arial" w:cs="Arial" w:eastAsia="Arial" w:hAnsi="Arial"/>
          <w:sz w:val="22"/>
          <w:szCs w:val="22"/>
        </w:rPr>
        <w:t xml:space="preserve">Accurate electricity demand forecasting remains a persistent challenge in the energy sector due to multiple compounding factors:</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Highly irregular seasonal and weekly consumption patterns that vary by household behavior</w:t>
      </w:r>
    </w:p>
    <w:p>
      <w:pPr>
        <w:pStyle w:val="ListParagraph"/>
        <w:numPr>
          <w:ilvl w:val="0"/>
          <w:numId w:val="2"/>
        </w:numPr>
        <w:spacing w:after="60" w:before="60"/>
      </w:pPr>
      <w:r>
        <w:rPr>
          <w:rFonts w:ascii="Arial" w:cs="Arial" w:eastAsia="Arial" w:hAnsi="Arial"/>
          <w:sz w:val="22"/>
          <w:szCs w:val="22"/>
        </w:rPr>
        <w:t xml:space="preserve">Sudden demand spikes caused by temperature extremes or special events</w:t>
      </w:r>
    </w:p>
    <w:p>
      <w:pPr>
        <w:pStyle w:val="ListParagraph"/>
        <w:numPr>
          <w:ilvl w:val="0"/>
          <w:numId w:val="2"/>
        </w:numPr>
        <w:spacing w:after="60" w:before="60"/>
      </w:pPr>
      <w:r>
        <w:rPr>
          <w:rFonts w:ascii="Arial" w:cs="Arial" w:eastAsia="Arial" w:hAnsi="Arial"/>
          <w:sz w:val="22"/>
          <w:szCs w:val="22"/>
        </w:rPr>
        <w:t xml:space="preserve">Significant noise in real-world sensor data from household devices</w:t>
      </w:r>
    </w:p>
    <w:p>
      <w:pPr>
        <w:pStyle w:val="ListParagraph"/>
        <w:numPr>
          <w:ilvl w:val="0"/>
          <w:numId w:val="2"/>
        </w:numPr>
        <w:spacing w:after="60" w:before="60"/>
      </w:pPr>
      <w:r>
        <w:rPr>
          <w:rFonts w:ascii="Arial" w:cs="Arial" w:eastAsia="Arial" w:hAnsi="Arial"/>
          <w:sz w:val="22"/>
          <w:szCs w:val="22"/>
        </w:rPr>
        <w:t xml:space="preserve">Long-range temporal dependencies that traditional linear models fail to capture</w:t>
      </w:r>
    </w:p>
    <w:p>
      <w:pPr>
        <w:pStyle w:val="ListParagraph"/>
        <w:numPr>
          <w:ilvl w:val="0"/>
          <w:numId w:val="2"/>
        </w:numPr>
        <w:spacing w:after="60" w:before="60"/>
      </w:pPr>
      <w:r>
        <w:rPr>
          <w:rFonts w:ascii="Arial" w:cs="Arial" w:eastAsia="Arial" w:hAnsi="Arial"/>
          <w:sz w:val="22"/>
          <w:szCs w:val="22"/>
        </w:rPr>
        <w:t xml:space="preserve">Non-stationarity in raw consumption time series requiring transformation before modeling</w:t>
      </w:r>
    </w:p>
    <w:p>
      <w:pPr>
        <w:spacing w:after="120" w:before="0"/>
      </w:pPr>
      <w:r>
        <w:t xml:space="preserve"/>
      </w:r>
    </w:p>
    <w:p>
      <w:pPr>
        <w:spacing w:after="100" w:before="80"/>
        <w:jc w:val="both"/>
      </w:pPr>
      <w:r>
        <w:rPr>
          <w:rFonts w:ascii="Arial" w:cs="Arial" w:eastAsia="Arial" w:hAnsi="Arial"/>
          <w:sz w:val="22"/>
          <w:szCs w:val="22"/>
        </w:rPr>
        <w:t xml:space="preserve">This project addresses these challenges by formulating the forecasting task as a supervised regression problem on historical daily power consumption data. The central research question is: Can LSTM deep learning models significantly outperform classical ARIMA models in predicting household electricity consumption, and if so, by how much?</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3. Objectives</w:t>
      </w:r>
    </w:p>
    <w:p>
      <w:pPr>
        <w:spacing w:after="100" w:before="80"/>
        <w:jc w:val="both"/>
      </w:pPr>
      <w:r>
        <w:rPr>
          <w:rFonts w:ascii="Arial" w:cs="Arial" w:eastAsia="Arial" w:hAnsi="Arial"/>
          <w:sz w:val="22"/>
          <w:szCs w:val="22"/>
        </w:rPr>
        <w:t xml:space="preserve">The primary objectives of this project are:</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Analyze historical electricity consumption patterns using rolling statistics, stationarity testing, ACF/PACF analysis, and seasonal decomposition</w:t>
      </w:r>
    </w:p>
    <w:p>
      <w:pPr>
        <w:pStyle w:val="ListParagraph"/>
        <w:numPr>
          <w:ilvl w:val="0"/>
          <w:numId w:val="2"/>
        </w:numPr>
        <w:spacing w:after="60" w:before="60"/>
      </w:pPr>
      <w:r>
        <w:rPr>
          <w:rFonts w:ascii="Arial" w:cs="Arial" w:eastAsia="Arial" w:hAnsi="Arial"/>
          <w:sz w:val="22"/>
          <w:szCs w:val="22"/>
        </w:rPr>
        <w:t xml:space="preserve">Implement ARIMA(5,1,0) as a classical statistical baseline for time series forecasting</w:t>
      </w:r>
    </w:p>
    <w:p>
      <w:pPr>
        <w:pStyle w:val="ListParagraph"/>
        <w:numPr>
          <w:ilvl w:val="0"/>
          <w:numId w:val="2"/>
        </w:numPr>
        <w:spacing w:after="60" w:before="60"/>
      </w:pPr>
      <w:r>
        <w:rPr>
          <w:rFonts w:ascii="Arial" w:cs="Arial" w:eastAsia="Arial" w:hAnsi="Arial"/>
          <w:sz w:val="22"/>
          <w:szCs w:val="22"/>
        </w:rPr>
        <w:t xml:space="preserve">Design, train, and optimize a two-layer LSTM neural network with Dropout regularization and Early Stopping</w:t>
      </w:r>
    </w:p>
    <w:p>
      <w:pPr>
        <w:pStyle w:val="ListParagraph"/>
        <w:numPr>
          <w:ilvl w:val="0"/>
          <w:numId w:val="2"/>
        </w:numPr>
        <w:spacing w:after="60" w:before="60"/>
      </w:pPr>
      <w:r>
        <w:rPr>
          <w:rFonts w:ascii="Arial" w:cs="Arial" w:eastAsia="Arial" w:hAnsi="Arial"/>
          <w:sz w:val="22"/>
          <w:szCs w:val="22"/>
        </w:rPr>
        <w:t xml:space="preserve">Evaluate both models using MAE, RMSE, and MAPE as complementary performance metrics</w:t>
      </w:r>
    </w:p>
    <w:p>
      <w:pPr>
        <w:pStyle w:val="ListParagraph"/>
        <w:numPr>
          <w:ilvl w:val="0"/>
          <w:numId w:val="2"/>
        </w:numPr>
        <w:spacing w:after="60" w:before="60"/>
      </w:pPr>
      <w:r>
        <w:rPr>
          <w:rFonts w:ascii="Arial" w:cs="Arial" w:eastAsia="Arial" w:hAnsi="Arial"/>
          <w:sz w:val="22"/>
          <w:szCs w:val="22"/>
        </w:rPr>
        <w:t xml:space="preserve">Produce comprehensive visual comparisons of predictions, residuals, and performance metrics including 3D visualizations</w:t>
      </w:r>
    </w:p>
    <w:p>
      <w:pPr>
        <w:pStyle w:val="ListParagraph"/>
        <w:numPr>
          <w:ilvl w:val="0"/>
          <w:numId w:val="2"/>
        </w:numPr>
        <w:spacing w:after="60" w:before="60"/>
      </w:pPr>
      <w:r>
        <w:rPr>
          <w:rFonts w:ascii="Arial" w:cs="Arial" w:eastAsia="Arial" w:hAnsi="Arial"/>
          <w:sz w:val="22"/>
          <w:szCs w:val="22"/>
        </w:rPr>
        <w:t xml:space="preserve">Derive actionable conclusions on model selection for energy forecasting applications</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4. Literature Review</w:t>
      </w:r>
    </w:p>
    <w:p>
      <w:pPr>
        <w:spacing w:after="100" w:before="80"/>
        <w:jc w:val="both"/>
      </w:pPr>
      <w:r>
        <w:rPr>
          <w:rFonts w:ascii="Arial" w:cs="Arial" w:eastAsia="Arial" w:hAnsi="Arial"/>
          <w:sz w:val="22"/>
          <w:szCs w:val="22"/>
        </w:rPr>
        <w:t xml:space="preserve">Time series forecasting has been extensively studied in the context of energy demand prediction. The literature broadly covers three generations of approaches.</w:t>
      </w:r>
    </w:p>
    <w:p>
      <w:pPr>
        <w:spacing w:after="120" w:before="0"/>
      </w:pPr>
      <w:r>
        <w:t xml:space="preserve"/>
      </w:r>
    </w:p>
    <w:p>
      <w:pPr>
        <w:spacing w:after="80" w:before="200"/>
      </w:pPr>
      <w:r>
        <w:rPr>
          <w:rFonts w:ascii="Arial" w:cs="Arial" w:eastAsia="Arial" w:hAnsi="Arial"/>
          <w:b/>
          <w:bCs/>
          <w:color w:val="2C3E50"/>
          <w:sz w:val="24"/>
          <w:szCs w:val="24"/>
        </w:rPr>
        <w:t xml:space="preserve">4.1 Classical Statistical Models</w:t>
      </w:r>
    </w:p>
    <w:p>
      <w:pPr>
        <w:spacing w:after="100" w:before="80"/>
        <w:jc w:val="both"/>
      </w:pPr>
      <w:r>
        <w:rPr>
          <w:rFonts w:ascii="Arial" w:cs="Arial" w:eastAsia="Arial" w:hAnsi="Arial"/>
          <w:sz w:val="22"/>
          <w:szCs w:val="22"/>
        </w:rPr>
        <w:t xml:space="preserve">ARIMA models, introduced by Box and Jenkins (1970), have been widely applied to electricity demand forecasting due to their interpretability and solid theoretical foundation. ARIMA assumes linearity and stationarity of the underlying time series, requiring differencing to achieve stationarity before modeling. While effective for short-horizon forecasts with clear linear trends, ARIMA struggles with complex seasonal patterns and nonlinear dependencies. Studies by Zhang (2003) demonstrated that ARIMA often fails to capture the nonlinear structure present in real-world consumption data.</w:t>
      </w:r>
    </w:p>
    <w:p>
      <w:pPr>
        <w:spacing w:after="120" w:before="0"/>
      </w:pPr>
      <w:r>
        <w:t xml:space="preserve"/>
      </w:r>
    </w:p>
    <w:p>
      <w:pPr>
        <w:spacing w:after="80" w:before="200"/>
      </w:pPr>
      <w:r>
        <w:rPr>
          <w:rFonts w:ascii="Arial" w:cs="Arial" w:eastAsia="Arial" w:hAnsi="Arial"/>
          <w:b/>
          <w:bCs/>
          <w:color w:val="2C3E50"/>
          <w:sz w:val="24"/>
          <w:szCs w:val="24"/>
        </w:rPr>
        <w:t xml:space="preserve">4.2 Deep Learning Models</w:t>
      </w:r>
    </w:p>
    <w:p>
      <w:pPr>
        <w:spacing w:after="100" w:before="80"/>
        <w:jc w:val="both"/>
      </w:pPr>
      <w:r>
        <w:rPr>
          <w:rFonts w:ascii="Arial" w:cs="Arial" w:eastAsia="Arial" w:hAnsi="Arial"/>
          <w:sz w:val="22"/>
          <w:szCs w:val="22"/>
        </w:rPr>
        <w:t xml:space="preserve">The introduction of LSTM by Hochreiter and Schmidhuber (1997) addressed the vanishing gradient problem that limited earlier recurrent neural networks. LSTMs maintain a cell state that allows them to retain information over long sequences, making them particularly well-suited for time series with long-range dependencies. Multiple studies have demonstrated LSTM superiority over ARIMA for electricity load forecasting. Bouktif et al. (2018) reported 30-50% MAE reductions using LSTM on residential load data, while Kong et al. (2019) confirmed consistent LSTM advantages across multiple household datasets.</w:t>
      </w:r>
    </w:p>
    <w:p>
      <w:pPr>
        <w:spacing w:after="120" w:before="0"/>
      </w:pPr>
      <w:r>
        <w:t xml:space="preserve"/>
      </w:r>
    </w:p>
    <w:p>
      <w:pPr>
        <w:spacing w:after="80" w:before="200"/>
      </w:pPr>
      <w:r>
        <w:rPr>
          <w:rFonts w:ascii="Arial" w:cs="Arial" w:eastAsia="Arial" w:hAnsi="Arial"/>
          <w:b/>
          <w:bCs/>
          <w:color w:val="2C3E50"/>
          <w:sz w:val="24"/>
          <w:szCs w:val="24"/>
        </w:rPr>
        <w:t xml:space="preserve">4.3 Hybrid and Emerging Approaches</w:t>
      </w:r>
    </w:p>
    <w:p>
      <w:pPr>
        <w:spacing w:after="100" w:before="80"/>
        <w:jc w:val="both"/>
      </w:pPr>
      <w:r>
        <w:rPr>
          <w:rFonts w:ascii="Arial" w:cs="Arial" w:eastAsia="Arial" w:hAnsi="Arial"/>
          <w:sz w:val="22"/>
          <w:szCs w:val="22"/>
        </w:rPr>
        <w:t xml:space="preserve">Recent benchmarking studies suggest that hybrid ARIMA-LSTM models can further improve accuracy by capturing both linear and nonlinear components. Transformer-based models such as the Temporal Fusion Transformer have also shown strong performance for longer horizons. This project contributes empirical evidence to the ARIMA vs. LSTM body of research using a publicly available household dataset.</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5. Dataset Description</w:t>
      </w:r>
    </w:p>
    <w:p>
      <w:pPr>
        <w:spacing w:after="100" w:before="80"/>
        <w:jc w:val="both"/>
      </w:pPr>
      <w:r>
        <w:rPr>
          <w:rFonts w:ascii="Arial" w:cs="Arial" w:eastAsia="Arial" w:hAnsi="Arial"/>
          <w:sz w:val="22"/>
          <w:szCs w:val="22"/>
        </w:rPr>
        <w:t xml:space="preserve">The dataset used in this project is the UCI Individual Household Electric Power Consumption dataset (Dataset ID: 235), accessed via the ucimlrepo Python library.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Attribute</w:t>
            </w:r>
          </w:p>
        </w:tc>
        <w:tc>
          <w:tcPr>
            <w:tcW w:type="dxa" w:w="616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Details</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Source</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UCI Machine Learning Repository (ID: 235)</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Time Period</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December 2006 to November 2010 (approx. 4 years)</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Original Granularity</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1-minute intervals</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Total Records</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Approx. 2,075,259 observations</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Target Variable</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Global_active_power (kilowatts)</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Resampled Frequency</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Daily mean aggregation</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Missing Values</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Approx. 1.25% (replaced with NaN and dropped)</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Final Usable Records</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Approx. 1,435 daily observations after cleaning</w:t>
            </w:r>
          </w:p>
        </w:tc>
      </w:tr>
    </w:tbl>
    <w:p>
      <w:pPr>
        <w:spacing w:after="120" w:before="0"/>
      </w:pPr>
      <w:r>
        <w:t xml:space="preserve"/>
      </w:r>
    </w:p>
    <w:p>
      <w:pPr>
        <w:spacing w:after="100" w:before="80"/>
        <w:jc w:val="both"/>
      </w:pPr>
      <w:r>
        <w:rPr>
          <w:rFonts w:ascii="Arial" w:cs="Arial" w:eastAsia="Arial" w:hAnsi="Arial"/>
          <w:sz w:val="22"/>
          <w:szCs w:val="22"/>
        </w:rPr>
        <w:t xml:space="preserve">The target variable, Global_active_power, represents the household's global minute-averaged active power in kilowatts. Daily resampling using the mean aggregation function reduces noise while preserving meaningful temporal patterns necessary for both ARIMA and LSTM training.</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6. Methodology</w:t>
      </w:r>
    </w:p>
    <w:p>
      <w:pPr>
        <w:pStyle w:val="Heading2"/>
        <w:spacing w:after="120" w:before="280"/>
      </w:pPr>
      <w:r>
        <w:rPr>
          <w:rFonts w:ascii="Arial" w:cs="Arial" w:eastAsia="Arial" w:hAnsi="Arial"/>
          <w:b/>
          <w:bCs/>
          <w:color w:val="2E75B6"/>
          <w:sz w:val="26"/>
          <w:szCs w:val="26"/>
        </w:rPr>
        <w:t xml:space="preserve">6.1 Data Preprocessing</w:t>
      </w:r>
    </w:p>
    <w:p>
      <w:pPr>
        <w:spacing w:after="100" w:before="80"/>
        <w:jc w:val="both"/>
      </w:pPr>
      <w:r>
        <w:rPr>
          <w:rFonts w:ascii="Arial" w:cs="Arial" w:eastAsia="Arial" w:hAnsi="Arial"/>
          <w:sz w:val="22"/>
          <w:szCs w:val="22"/>
        </w:rPr>
        <w:t xml:space="preserve">Raw data preprocessing involved several sequential steps to ensure data quality:</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Loaded dataset directly from UCI ML Repository using ucimlrepo API</w:t>
      </w:r>
    </w:p>
    <w:p>
      <w:pPr>
        <w:pStyle w:val="ListParagraph"/>
        <w:numPr>
          <w:ilvl w:val="0"/>
          <w:numId w:val="2"/>
        </w:numPr>
        <w:spacing w:after="60" w:before="60"/>
      </w:pPr>
      <w:r>
        <w:rPr>
          <w:rFonts w:ascii="Arial" w:cs="Arial" w:eastAsia="Arial" w:hAnsi="Arial"/>
          <w:sz w:val="22"/>
          <w:szCs w:val="22"/>
        </w:rPr>
        <w:t xml:space="preserve">Replaced question mark placeholders with NaN for proper missing value handling</w:t>
      </w:r>
    </w:p>
    <w:p>
      <w:pPr>
        <w:pStyle w:val="ListParagraph"/>
        <w:numPr>
          <w:ilvl w:val="0"/>
          <w:numId w:val="2"/>
        </w:numPr>
        <w:spacing w:after="60" w:before="60"/>
      </w:pPr>
      <w:r>
        <w:rPr>
          <w:rFonts w:ascii="Arial" w:cs="Arial" w:eastAsia="Arial" w:hAnsi="Arial"/>
          <w:sz w:val="22"/>
          <w:szCs w:val="22"/>
        </w:rPr>
        <w:t xml:space="preserve">Converted all feature columns to numeric types using pd.to_numeric with error coercion</w:t>
      </w:r>
    </w:p>
    <w:p>
      <w:pPr>
        <w:pStyle w:val="ListParagraph"/>
        <w:numPr>
          <w:ilvl w:val="0"/>
          <w:numId w:val="2"/>
        </w:numPr>
        <w:spacing w:after="60" w:before="60"/>
      </w:pPr>
      <w:r>
        <w:rPr>
          <w:rFonts w:ascii="Arial" w:cs="Arial" w:eastAsia="Arial" w:hAnsi="Arial"/>
          <w:sz w:val="22"/>
          <w:szCs w:val="22"/>
        </w:rPr>
        <w:t xml:space="preserve">Parsed and set datetime index by combining Date and Time columns</w:t>
      </w:r>
    </w:p>
    <w:p>
      <w:pPr>
        <w:pStyle w:val="ListParagraph"/>
        <w:numPr>
          <w:ilvl w:val="0"/>
          <w:numId w:val="2"/>
        </w:numPr>
        <w:spacing w:after="60" w:before="60"/>
      </w:pPr>
      <w:r>
        <w:rPr>
          <w:rFonts w:ascii="Arial" w:cs="Arial" w:eastAsia="Arial" w:hAnsi="Arial"/>
          <w:sz w:val="22"/>
          <w:szCs w:val="22"/>
        </w:rPr>
        <w:t xml:space="preserve">Resampled minute-level data to daily frequency using mean aggregation</w:t>
      </w:r>
    </w:p>
    <w:p>
      <w:pPr>
        <w:pStyle w:val="ListParagraph"/>
        <w:numPr>
          <w:ilvl w:val="0"/>
          <w:numId w:val="2"/>
        </w:numPr>
        <w:spacing w:after="60" w:before="60"/>
      </w:pPr>
      <w:r>
        <w:rPr>
          <w:rFonts w:ascii="Arial" w:cs="Arial" w:eastAsia="Arial" w:hAnsi="Arial"/>
          <w:sz w:val="22"/>
          <w:szCs w:val="22"/>
        </w:rPr>
        <w:t xml:space="preserve">Applied MinMaxScaler normalization for LSTM input, scaling values to the range [0, 1]</w:t>
      </w:r>
    </w:p>
    <w:p>
      <w:pPr>
        <w:pStyle w:val="ListParagraph"/>
        <w:numPr>
          <w:ilvl w:val="0"/>
          <w:numId w:val="2"/>
        </w:numPr>
        <w:spacing w:after="60" w:before="60"/>
      </w:pPr>
      <w:r>
        <w:rPr>
          <w:rFonts w:ascii="Arial" w:cs="Arial" w:eastAsia="Arial" w:hAnsi="Arial"/>
          <w:sz w:val="22"/>
          <w:szCs w:val="22"/>
        </w:rPr>
        <w:t xml:space="preserve">Removed zero and NaN values before LSTM training to prevent NaN loss propagation during backpropagation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6.2 ARIMA Model Configuration</w:t>
      </w:r>
    </w:p>
    <w:p>
      <w:pPr>
        <w:spacing w:after="100" w:before="80"/>
        <w:jc w:val="both"/>
      </w:pPr>
      <w:r>
        <w:rPr>
          <w:rFonts w:ascii="Arial" w:cs="Arial" w:eastAsia="Arial" w:hAnsi="Arial"/>
          <w:sz w:val="22"/>
          <w:szCs w:val="22"/>
        </w:rPr>
        <w:t xml:space="preserve">The ARIMA(5,1,0) model parameters were selected based on ACF/PACF analysis:</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p=5: Autoregressive order, model uses 5 lagged observations as predictors</w:t>
      </w:r>
    </w:p>
    <w:p>
      <w:pPr>
        <w:pStyle w:val="ListParagraph"/>
        <w:numPr>
          <w:ilvl w:val="0"/>
          <w:numId w:val="2"/>
        </w:numPr>
        <w:spacing w:after="60" w:before="60"/>
      </w:pPr>
      <w:r>
        <w:rPr>
          <w:rFonts w:ascii="Arial" w:cs="Arial" w:eastAsia="Arial" w:hAnsi="Arial"/>
          <w:sz w:val="22"/>
          <w:szCs w:val="22"/>
        </w:rPr>
        <w:t xml:space="preserve">d=1: First-order differencing applied to achieve stationarity</w:t>
      </w:r>
    </w:p>
    <w:p>
      <w:pPr>
        <w:pStyle w:val="ListParagraph"/>
        <w:numPr>
          <w:ilvl w:val="0"/>
          <w:numId w:val="2"/>
        </w:numPr>
        <w:spacing w:after="60" w:before="60"/>
      </w:pPr>
      <w:r>
        <w:rPr>
          <w:rFonts w:ascii="Arial" w:cs="Arial" w:eastAsia="Arial" w:hAnsi="Arial"/>
          <w:sz w:val="22"/>
          <w:szCs w:val="22"/>
        </w:rPr>
        <w:t xml:space="preserve">q=0: No moving average component required based on PACF sharp cutoff pattern</w:t>
      </w:r>
    </w:p>
    <w:p>
      <w:pPr>
        <w:spacing w:after="120" w:before="0"/>
      </w:pPr>
      <w:r>
        <w:t xml:space="preserve"/>
      </w:r>
    </w:p>
    <w:p>
      <w:pPr>
        <w:spacing w:after="100" w:before="80"/>
        <w:jc w:val="both"/>
      </w:pPr>
      <w:r>
        <w:rPr>
          <w:rFonts w:ascii="Arial" w:cs="Arial" w:eastAsia="Arial" w:hAnsi="Arial"/>
          <w:sz w:val="22"/>
          <w:szCs w:val="22"/>
        </w:rPr>
        <w:t xml:space="preserve">The model was fitted on 80% of daily observations (training set) and forecasted the remaining 20% (test set) using the forecast() method for out-of-sample multi-step prediction.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6.3 LSTM Model Architecture</w:t>
      </w:r>
    </w:p>
    <w:p>
      <w:pPr>
        <w:spacing w:after="100" w:before="80"/>
        <w:jc w:val="both"/>
      </w:pPr>
      <w:r>
        <w:rPr>
          <w:rFonts w:ascii="Arial" w:cs="Arial" w:eastAsia="Arial" w:hAnsi="Arial"/>
          <w:sz w:val="22"/>
          <w:szCs w:val="22"/>
        </w:rPr>
        <w:t xml:space="preserve">The LSTM model was designed as follows: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Component</w:t>
            </w:r>
          </w:p>
        </w:tc>
        <w:tc>
          <w:tcPr>
            <w:tcW w:type="dxa" w:w="616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Configuration</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Input Shape</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(30, 1) representing a 30-day lookback window with 1 feature</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Layer 1</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LSTM with 50 units, return_sequences=True</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Dropout 1</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 dropout rate for regularization</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Layer 2</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LSTM with 50 units</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Dropout 2</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 dropout rate for regularization</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Output Layer</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Dense layer with 1 unit for regression output</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Optimizer</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Adam with default learning rate</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Loss Function</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Mean Squared Error (MSE)</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Batch Size</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32</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Max Epochs</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50 with Early Stopping (patience=5)</w:t>
            </w:r>
          </w:p>
        </w:tc>
      </w:tr>
      <w:tr>
        <w:tc>
          <w:tcPr>
            <w:tcW w:type="dxa" w:w="32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Total Parameters</w:t>
            </w:r>
          </w:p>
        </w:tc>
        <w:tc>
          <w:tcPr>
            <w:tcW w:type="dxa" w:w="61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30,651 trainable parameters</w:t>
            </w:r>
          </w:p>
        </w:tc>
      </w:tr>
      <w:tr>
        <w:tc>
          <w:tcPr>
            <w:tcW w:type="dxa" w:w="32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Actual Epochs Run</w:t>
            </w:r>
          </w:p>
        </w:tc>
        <w:tc>
          <w:tcPr>
            <w:tcW w:type="dxa" w:w="61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Approx. 6 to 10 (Early Stopping triggered)</w:t>
            </w:r>
          </w:p>
        </w:tc>
      </w:tr>
    </w:tbl>
    <w:p>
      <w:pPr>
        <w:spacing w:after="120" w:before="0"/>
      </w:pPr>
      <w:r>
        <w:t xml:space="preserve"/>
      </w:r>
    </w:p>
    <w:p>
      <w:pPr>
        <w:spacing w:after="100" w:before="80"/>
        <w:jc w:val="both"/>
      </w:pPr>
      <w:r>
        <w:rPr>
          <w:rFonts w:ascii="Arial" w:cs="Arial" w:eastAsia="Arial" w:hAnsi="Arial"/>
          <w:sz w:val="22"/>
          <w:szCs w:val="22"/>
        </w:rPr>
        <w:t xml:space="preserve">Sequences of 30 consecutive daily observations were created as input windows, with the 31st day as the prediction target. The 80/20 train-test split was applied after sequence creation to maintain temporal ordering. Early Stopping with restore_best_weights=True ensured the best model checkpoint was retained.</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7. System Architecture</w:t>
      </w:r>
    </w:p>
    <w:p>
      <w:pPr>
        <w:spacing w:after="100" w:before="80"/>
        <w:jc w:val="both"/>
      </w:pPr>
      <w:r>
        <w:rPr>
          <w:rFonts w:ascii="Arial" w:cs="Arial" w:eastAsia="Arial" w:hAnsi="Arial"/>
          <w:sz w:val="22"/>
          <w:szCs w:val="22"/>
        </w:rPr>
        <w:t xml:space="preserve">The end-to-end forecasting pipeline follows a structured machine learning workflow from raw data ingestion to final evaluation: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rPr>
          <w:tblHeader/>
        </w:trPr>
        <w:tc>
          <w:tcPr>
            <w:tcW w:type="dxa" w:w="18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Stage</w:t>
            </w:r>
          </w:p>
        </w:tc>
        <w:tc>
          <w:tcPr>
            <w:tcW w:type="dxa" w:w="40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Components</w:t>
            </w:r>
          </w:p>
        </w:tc>
        <w:tc>
          <w:tcPr>
            <w:tcW w:type="dxa" w:w="356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Output</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1. Data Ingestion</w:t>
            </w:r>
          </w:p>
        </w:tc>
        <w:tc>
          <w:tcPr>
            <w:tcW w:type="dxa" w:w="40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ucimlrepo API, UCI Dataset ID 235</w:t>
            </w:r>
          </w:p>
        </w:tc>
        <w:tc>
          <w:tcPr>
            <w:tcW w:type="dxa" w:w="35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Raw DataFrame (2M+ rows)</w:t>
            </w:r>
          </w:p>
        </w:tc>
      </w:tr>
      <w:tr>
        <w:tc>
          <w:tcPr>
            <w:tcW w:type="dxa" w:w="18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2. Preprocessing</w:t>
            </w:r>
          </w:p>
        </w:tc>
        <w:tc>
          <w:tcPr>
            <w:tcW w:type="dxa" w:w="40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Datetime parsing, NaN handling, type conversion</w:t>
            </w:r>
          </w:p>
        </w:tc>
        <w:tc>
          <w:tcPr>
            <w:tcW w:type="dxa" w:w="35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Clean time-indexed DataFrame</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3. Feature Engineering</w:t>
            </w:r>
          </w:p>
        </w:tc>
        <w:tc>
          <w:tcPr>
            <w:tcW w:type="dxa" w:w="40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Daily resampling, MinMaxScaler, sequence creation (window=30)</w:t>
            </w:r>
          </w:p>
        </w:tc>
        <w:tc>
          <w:tcPr>
            <w:tcW w:type="dxa" w:w="35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Scaled sequences X and y</w:t>
            </w:r>
          </w:p>
        </w:tc>
      </w:tr>
      <w:tr>
        <w:tc>
          <w:tcPr>
            <w:tcW w:type="dxa" w:w="18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4. EDA</w:t>
            </w:r>
          </w:p>
        </w:tc>
        <w:tc>
          <w:tcPr>
            <w:tcW w:type="dxa" w:w="40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Rolling stats, ADF test, ACF/PACF, seasonal decomposition</w:t>
            </w:r>
          </w:p>
        </w:tc>
        <w:tc>
          <w:tcPr>
            <w:tcW w:type="dxa" w:w="35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Stationarity confirmed, lag params identified</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5. Model Training</w:t>
            </w:r>
          </w:p>
        </w:tc>
        <w:tc>
          <w:tcPr>
            <w:tcW w:type="dxa" w:w="40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ARIMA(5,1,0) on train set; LSTM on X_train/y_train</w:t>
            </w:r>
          </w:p>
        </w:tc>
        <w:tc>
          <w:tcPr>
            <w:tcW w:type="dxa" w:w="35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Fitted model objects</w:t>
            </w:r>
          </w:p>
        </w:tc>
      </w:tr>
      <w:tr>
        <w:tc>
          <w:tcPr>
            <w:tcW w:type="dxa" w:w="18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6. Prediction</w:t>
            </w:r>
          </w:p>
        </w:tc>
        <w:tc>
          <w:tcPr>
            <w:tcW w:type="dxa" w:w="40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ARIMA: forecast(); LSTM: model.predict(X_test) + inverse transform</w:t>
            </w:r>
          </w:p>
        </w:tc>
        <w:tc>
          <w:tcPr>
            <w:tcW w:type="dxa" w:w="35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y_pred arrays in original scale</w:t>
            </w:r>
          </w:p>
        </w:tc>
      </w:tr>
      <w:tr>
        <w:tc>
          <w:tcPr>
            <w:tcW w:type="dxa" w:w="1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7. Evaluation</w:t>
            </w:r>
          </w:p>
        </w:tc>
        <w:tc>
          <w:tcPr>
            <w:tcW w:type="dxa" w:w="40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MAE, RMSE, MAPE computation for both models</w:t>
            </w:r>
          </w:p>
        </w:tc>
        <w:tc>
          <w:tcPr>
            <w:tcW w:type="dxa" w:w="35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Metric comparison table</w:t>
            </w:r>
          </w:p>
        </w:tc>
      </w:tr>
      <w:tr>
        <w:tc>
          <w:tcPr>
            <w:tcW w:type="dxa" w:w="18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8. Visualization</w:t>
            </w:r>
          </w:p>
        </w:tc>
        <w:tc>
          <w:tcPr>
            <w:tcW w:type="dxa" w:w="40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4-panel comparison plots, 3D LSTM plot, 3D rolling mean surface</w:t>
            </w:r>
          </w:p>
        </w:tc>
        <w:tc>
          <w:tcPr>
            <w:tcW w:type="dxa" w:w="35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Final figures for reporting</w:t>
            </w:r>
          </w:p>
        </w:tc>
      </w:tr>
    </w:tbl>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8. Exploratory Data Analysis</w:t>
      </w:r>
    </w:p>
    <w:p>
      <w:pPr>
        <w:pStyle w:val="Heading2"/>
        <w:spacing w:after="120" w:before="280"/>
      </w:pPr>
      <w:r>
        <w:rPr>
          <w:rFonts w:ascii="Arial" w:cs="Arial" w:eastAsia="Arial" w:hAnsi="Arial"/>
          <w:b/>
          <w:bCs/>
          <w:color w:val="2E75B6"/>
          <w:sz w:val="26"/>
          <w:szCs w:val="26"/>
        </w:rPr>
        <w:t xml:space="preserve">8.1 Stationarity Analysis</w:t>
      </w:r>
    </w:p>
    <w:p>
      <w:pPr>
        <w:spacing w:after="100" w:before="80"/>
        <w:jc w:val="both"/>
      </w:pPr>
      <w:r>
        <w:rPr>
          <w:rFonts w:ascii="Arial" w:cs="Arial" w:eastAsia="Arial" w:hAnsi="Arial"/>
          <w:sz w:val="22"/>
          <w:szCs w:val="22"/>
        </w:rPr>
        <w:t xml:space="preserve">The Augmented Dickey-Fuller (ADF) test was applied to the raw daily consumption series. The initial result indicated non-stationarity (p-value above 0.05), requiring transformation. After first-order differencing (d=1), the series became stationary, confirming that ARIMA(5,1,0) with d=1 is the appropriate parameterization.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8.2 Seasonal Decomposition</w:t>
      </w:r>
    </w:p>
    <w:p>
      <w:pPr>
        <w:spacing w:after="100" w:before="80"/>
        <w:jc w:val="both"/>
      </w:pPr>
      <w:r>
        <w:rPr>
          <w:rFonts w:ascii="Arial" w:cs="Arial" w:eastAsia="Arial" w:hAnsi="Arial"/>
          <w:sz w:val="22"/>
          <w:szCs w:val="22"/>
        </w:rPr>
        <w:t xml:space="preserve">Additive decomposition with a weekly period (period=7) revealed three distinct components in the daily consumption data:</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Trend: A gradual downward trajectory in consumption over the 4-year period, likely reflecting increased energy efficiency and behavioral changes</w:t>
      </w:r>
    </w:p>
    <w:p>
      <w:pPr>
        <w:pStyle w:val="ListParagraph"/>
        <w:numPr>
          <w:ilvl w:val="0"/>
          <w:numId w:val="2"/>
        </w:numPr>
        <w:spacing w:after="60" w:before="60"/>
      </w:pPr>
      <w:r>
        <w:rPr>
          <w:rFonts w:ascii="Arial" w:cs="Arial" w:eastAsia="Arial" w:hAnsi="Arial"/>
          <w:sz w:val="22"/>
          <w:szCs w:val="22"/>
        </w:rPr>
        <w:t xml:space="preserve">Seasonality: Clear weekly periodicity with higher consumption on weekdays compared to weekends</w:t>
      </w:r>
    </w:p>
    <w:p>
      <w:pPr>
        <w:pStyle w:val="ListParagraph"/>
        <w:numPr>
          <w:ilvl w:val="0"/>
          <w:numId w:val="2"/>
        </w:numPr>
        <w:spacing w:after="60" w:before="60"/>
      </w:pPr>
      <w:r>
        <w:rPr>
          <w:rFonts w:ascii="Arial" w:cs="Arial" w:eastAsia="Arial" w:hAnsi="Arial"/>
          <w:sz w:val="22"/>
          <w:szCs w:val="22"/>
        </w:rPr>
        <w:t xml:space="preserve">Residuals: Random noise remaining after trend and seasonal extraction, relatively small in magnitude confirming a well-structured decomposition</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8.3 Rolling Statistics</w:t>
      </w:r>
    </w:p>
    <w:p>
      <w:pPr>
        <w:spacing w:after="100" w:before="80"/>
        <w:jc w:val="both"/>
      </w:pPr>
      <w:r>
        <w:rPr>
          <w:rFonts w:ascii="Arial" w:cs="Arial" w:eastAsia="Arial" w:hAnsi="Arial"/>
          <w:sz w:val="22"/>
          <w:szCs w:val="22"/>
        </w:rPr>
        <w:t xml:space="preserve">The 30-day rolling mean and standard deviation analysis confirmed non-constant mean in the raw series. The rolling mean exhibited clear downward drift consistent with the trend component identified in decomposition, while rolling standard deviation remained relatively stable, indicating mean non-stationarity rather than variance non-stationarity.</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8.4 ACF and PACF Analysis</w:t>
      </w:r>
    </w:p>
    <w:p>
      <w:pPr>
        <w:spacing w:after="100" w:before="80"/>
        <w:jc w:val="both"/>
      </w:pPr>
      <w:r>
        <w:rPr>
          <w:rFonts w:ascii="Arial" w:cs="Arial" w:eastAsia="Arial" w:hAnsi="Arial"/>
          <w:sz w:val="22"/>
          <w:szCs w:val="22"/>
        </w:rPr>
        <w:t xml:space="preserve">Autocorrelation (ACF) and partial autocorrelation (PACF) plots of the differenced series revealed significant autocorrelation at lags 1 through 5, with the PACF cutting off sharply after lag 5. This pattern directly informed the selection of p=5 for the ARIMA model. The gradual decay in ACF confirmed that d=1 differencing was sufficient to achieve stationarity.</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9. Results and Discussion</w:t>
      </w:r>
    </w:p>
    <w:p>
      <w:pPr>
        <w:pStyle w:val="Heading2"/>
        <w:spacing w:after="120" w:before="280"/>
      </w:pPr>
      <w:r>
        <w:rPr>
          <w:rFonts w:ascii="Arial" w:cs="Arial" w:eastAsia="Arial" w:hAnsi="Arial"/>
          <w:b/>
          <w:bCs/>
          <w:color w:val="2E75B6"/>
          <w:sz w:val="26"/>
          <w:szCs w:val="26"/>
        </w:rPr>
        <w:t xml:space="preserve">9.1 Model Performance Metrics</w:t>
      </w:r>
    </w:p>
    <w:p>
      <w:pPr>
        <w:spacing w:after="100" w:before="80"/>
        <w:jc w:val="both"/>
      </w:pPr>
      <w:r>
        <w:rPr>
          <w:rFonts w:ascii="Arial" w:cs="Arial" w:eastAsia="Arial" w:hAnsi="Arial"/>
          <w:sz w:val="22"/>
          <w:szCs w:val="22"/>
        </w:rPr>
        <w:t xml:space="preserve">Both models were evaluated on the 20% held-out test set using three complementary regression metrics. The results conclusively favor LSTM across all dimensions: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2760"/>
      </w:tblGrid>
      <w:tr>
        <w:trPr>
          <w:tblHeader/>
        </w:trPr>
        <w:tc>
          <w:tcPr>
            <w:tcW w:type="dxa" w:w="28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Metric</w:t>
            </w:r>
          </w:p>
        </w:tc>
        <w:tc>
          <w:tcPr>
            <w:tcW w:type="dxa" w:w="19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ARIMA (5,1,0)</w:t>
            </w:r>
          </w:p>
        </w:tc>
        <w:tc>
          <w:tcPr>
            <w:tcW w:type="dxa" w:w="19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LSTM (2-Layer)</w:t>
            </w:r>
          </w:p>
        </w:tc>
        <w:tc>
          <w:tcPr>
            <w:tcW w:type="dxa" w:w="276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LSTM Improvement</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MAE (Mean Absolute Error)</w:t>
            </w:r>
          </w:p>
        </w:tc>
        <w:tc>
          <w:tcPr>
            <w:tcW w:type="dxa" w:w="19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0.5270 kW</w:t>
            </w:r>
          </w:p>
        </w:tc>
        <w:tc>
          <w:tcPr>
            <w:tcW w:type="dxa" w:w="19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0.1770 kW</w:t>
            </w:r>
          </w:p>
        </w:tc>
        <w:tc>
          <w:tcPr>
            <w:tcW w:type="dxa" w:w="27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66.4% lower</w:t>
            </w:r>
          </w:p>
        </w:tc>
      </w:tr>
      <w:tr>
        <w:tc>
          <w:tcPr>
            <w:tcW w:type="dxa" w:w="28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RMSE (Root Mean Square Error)</w:t>
            </w:r>
          </w:p>
        </w:tc>
        <w:tc>
          <w:tcPr>
            <w:tcW w:type="dxa" w:w="19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0.6000 kW</w:t>
            </w:r>
          </w:p>
        </w:tc>
        <w:tc>
          <w:tcPr>
            <w:tcW w:type="dxa" w:w="19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0.2420 kW</w:t>
            </w:r>
          </w:p>
        </w:tc>
        <w:tc>
          <w:tcPr>
            <w:tcW w:type="dxa" w:w="27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59.7% lower</w:t>
            </w:r>
          </w:p>
        </w:tc>
      </w:tr>
      <w:tr>
        <w:tc>
          <w:tcPr>
            <w:tcW w:type="dxa" w:w="2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MAPE (Mean Abs. % Error)</w:t>
            </w:r>
          </w:p>
        </w:tc>
        <w:tc>
          <w:tcPr>
            <w:tcW w:type="dxa" w:w="19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72.45%</w:t>
            </w:r>
          </w:p>
        </w:tc>
        <w:tc>
          <w:tcPr>
            <w:tcW w:type="dxa" w:w="19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20.23%</w:t>
            </w:r>
          </w:p>
        </w:tc>
        <w:tc>
          <w:tcPr>
            <w:tcW w:type="dxa" w:w="27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72.1% lower</w:t>
            </w:r>
          </w:p>
        </w:tc>
      </w:tr>
    </w:tbl>
    <w:p>
      <w:pPr>
        <w:spacing w:after="120" w:before="0"/>
      </w:pPr>
      <w:r>
        <w:t xml:space="preserve"/>
      </w:r>
    </w:p>
    <w:p>
      <w:pPr>
        <w:spacing w:after="100" w:before="80"/>
        <w:jc w:val="both"/>
      </w:pPr>
      <w:r>
        <w:rPr>
          <w:rFonts w:ascii="Arial" w:cs="Arial" w:eastAsia="Arial" w:hAnsi="Arial"/>
          <w:sz w:val="22"/>
          <w:szCs w:val="22"/>
        </w:rPr>
        <w:t xml:space="preserve">LSTM outperforms ARIMA on all three metrics by a substantial margin. The MAPE of 20.23% for LSTM indicates that predictions deviate from actual values by approximately 20% on average, which is an acceptable level of accuracy for daily household consumption forecasting given the inherent volatility of real-world energy data.</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9.2 ARIMA Performance Analysis</w:t>
      </w:r>
    </w:p>
    <w:p>
      <w:pPr>
        <w:spacing w:after="100" w:before="80"/>
        <w:jc w:val="both"/>
      </w:pPr>
      <w:r>
        <w:rPr>
          <w:rFonts w:ascii="Arial" w:cs="Arial" w:eastAsia="Arial" w:hAnsi="Arial"/>
          <w:sz w:val="22"/>
          <w:szCs w:val="22"/>
        </w:rPr>
        <w:t xml:space="preserve">The ARIMA(5,1,0) model achieved an MAE of 0.527 kW and RMSE of 0.600 kW as a statistical baseline. While these represent reasonable absolute error levels, the model's fundamental limitation is evident in its prediction behavior: ARIMA forecasts converge toward the long-run series mean over multi-step horizons, producing an approximately flat prediction line for the 270-day test period.</w:t>
      </w:r>
    </w:p>
    <w:p>
      <w:pPr>
        <w:spacing w:after="120" w:before="0"/>
      </w:pPr>
      <w:r>
        <w:t xml:space="preserve"/>
      </w:r>
    </w:p>
    <w:p>
      <w:pPr>
        <w:spacing w:after="100" w:before="80"/>
        <w:jc w:val="both"/>
      </w:pPr>
      <w:r>
        <w:rPr>
          <w:rFonts w:ascii="Arial" w:cs="Arial" w:eastAsia="Arial" w:hAnsi="Arial"/>
          <w:sz w:val="22"/>
          <w:szCs w:val="22"/>
        </w:rPr>
        <w:t xml:space="preserve">This mean-reversion behavior directly explains the high MAPE of 72.45%. While ARIMA correctly estimates the average level of consumption, it completely fails to capture short-term fluctuations and weekly seasonality. This is a well-documented limitation of ARIMA for long-horizon multi-step forecasting and is clearly visible in the ARIMA residual analysis which shows a consistent negative bias throughout the test period.</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9.3 LSTM Performance Analysis</w:t>
      </w:r>
    </w:p>
    <w:p>
      <w:pPr>
        <w:spacing w:after="100" w:before="80"/>
        <w:jc w:val="both"/>
      </w:pPr>
      <w:r>
        <w:rPr>
          <w:rFonts w:ascii="Arial" w:cs="Arial" w:eastAsia="Arial" w:hAnsi="Arial"/>
          <w:sz w:val="22"/>
          <w:szCs w:val="22"/>
        </w:rPr>
        <w:t xml:space="preserve">The LSTM model significantly outperformed ARIMA, achieving an MAE of 0.177 kW and RMSE of 0.242 kW. The model converged efficiently during training, with Early Stopping triggering after approximately 6 to 10 epochs with validation loss stabilizing around 0.006. This rapid convergence indicates that the data was well-preprocessed and the architecture was appropriately sized for the problem.</w:t>
      </w:r>
    </w:p>
    <w:p>
      <w:pPr>
        <w:spacing w:after="120" w:before="0"/>
      </w:pPr>
      <w:r>
        <w:t xml:space="preserve"/>
      </w:r>
    </w:p>
    <w:p>
      <w:pPr>
        <w:spacing w:after="100" w:before="80"/>
        <w:jc w:val="both"/>
      </w:pPr>
      <w:r>
        <w:rPr>
          <w:rFonts w:ascii="Arial" w:cs="Arial" w:eastAsia="Arial" w:hAnsi="Arial"/>
          <w:sz w:val="22"/>
          <w:szCs w:val="22"/>
        </w:rPr>
        <w:t xml:space="preserve">The actual versus predicted plot for LSTM demonstrates that the model successfully tracks the general trend and medium-term fluctuations of daily consumption. The predicted line follows the overall shape of the actual series, including the notable consumption dip around the 160-day mark. The model appropriately smooths sharp daily spikes, which is expected behavior given the 30-day lookback window averaging effect.</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9.4 Residual Analysis</w:t>
      </w:r>
    </w:p>
    <w:p>
      <w:pPr>
        <w:spacing w:after="100" w:before="80"/>
        <w:jc w:val="both"/>
      </w:pPr>
      <w:r>
        <w:rPr>
          <w:rFonts w:ascii="Arial" w:cs="Arial" w:eastAsia="Arial" w:hAnsi="Arial"/>
          <w:sz w:val="22"/>
          <w:szCs w:val="22"/>
        </w:rPr>
        <w:t xml:space="preserve">Residual analysis provides critical insight into model calibration quality:</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ARIMA residuals show a systematic downward bias throughout the entire test period, consistently remaining negative. This confirms structural under-prediction caused by ARIMA's mean-reversion behavior over long forecasting horizons.</w:t>
      </w:r>
    </w:p>
    <w:p>
      <w:pPr>
        <w:pStyle w:val="ListParagraph"/>
        <w:numPr>
          <w:ilvl w:val="0"/>
          <w:numId w:val="2"/>
        </w:numPr>
        <w:spacing w:after="60" w:before="60"/>
      </w:pPr>
      <w:r>
        <w:rPr>
          <w:rFonts w:ascii="Arial" w:cs="Arial" w:eastAsia="Arial" w:hAnsi="Arial"/>
          <w:sz w:val="22"/>
          <w:szCs w:val="22"/>
        </w:rPr>
        <w:t xml:space="preserve">LSTM residuals oscillate around zero throughout the test period with no systematic directional bias. Both positive and negative deviations occur randomly, which is the hallmark of a well-calibrated regression model.</w:t>
      </w:r>
    </w:p>
    <w:p>
      <w:pPr>
        <w:spacing w:after="120" w:before="0"/>
      </w:pPr>
      <w:r>
        <w:t xml:space="preserve"/>
      </w:r>
    </w:p>
    <w:p>
      <w:pPr>
        <w:spacing w:after="100" w:before="80"/>
        <w:jc w:val="both"/>
      </w:pPr>
      <w:r>
        <w:rPr>
          <w:rFonts w:ascii="Arial" w:cs="Arial" w:eastAsia="Arial" w:hAnsi="Arial"/>
          <w:sz w:val="22"/>
          <w:szCs w:val="22"/>
        </w:rPr>
        <w:t xml:space="preserve">The LSTM's centered residuals confirm successful learning of the underlying consumption dynamics without systematic over- or under-prediction. In contrast, ARIMA's negative-biased residuals indicate a fundamental structural limitation for this forecasting task.</w:t>
      </w:r>
    </w:p>
    <w:p>
      <w:pPr>
        <w:spacing w:after="120" w:before="0"/>
      </w:pPr>
      <w:r>
        <w:t xml:space="preserve"/>
      </w:r>
    </w:p>
    <w:p>
      <w:pPr>
        <w:pStyle w:val="Heading2"/>
        <w:spacing w:after="120" w:before="280"/>
      </w:pPr>
      <w:r>
        <w:rPr>
          <w:rFonts w:ascii="Arial" w:cs="Arial" w:eastAsia="Arial" w:hAnsi="Arial"/>
          <w:b/>
          <w:bCs/>
          <w:color w:val="2E75B6"/>
          <w:sz w:val="26"/>
          <w:szCs w:val="26"/>
        </w:rPr>
        <w:t xml:space="preserve">9.5 Consolidated Findings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Finding</w:t>
            </w:r>
          </w:p>
        </w:tc>
        <w:tc>
          <w:tcPr>
            <w:tcW w:type="dxa" w:w="576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Explanation</w:t>
            </w:r>
          </w:p>
        </w:tc>
      </w:tr>
      <w:tr>
        <w:tc>
          <w:tcPr>
            <w:tcW w:type="dxa" w:w="36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LSTM wins on all 3 metrics</w:t>
            </w:r>
          </w:p>
        </w:tc>
        <w:tc>
          <w:tcPr>
            <w:tcW w:type="dxa" w:w="57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Deep learning captures nonlinear patterns that linear ARIMA cannot model</w:t>
            </w:r>
          </w:p>
        </w:tc>
      </w:tr>
      <w:tr>
        <w:tc>
          <w:tcPr>
            <w:tcW w:type="dxa" w:w="36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ARIMA flat-lines over long horizon</w:t>
            </w:r>
          </w:p>
        </w:tc>
        <w:tc>
          <w:tcPr>
            <w:tcW w:type="dxa" w:w="57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Known limitation: ARIMA forecasts revert to mean beyond approximately 20 steps ahead</w:t>
            </w:r>
          </w:p>
        </w:tc>
      </w:tr>
      <w:tr>
        <w:tc>
          <w:tcPr>
            <w:tcW w:type="dxa" w:w="36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LSTM residuals are unbiased</w:t>
            </w:r>
          </w:p>
        </w:tc>
        <w:tc>
          <w:tcPr>
            <w:tcW w:type="dxa" w:w="57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No systematic directional error confirms well-calibrated model learning</w:t>
            </w:r>
          </w:p>
        </w:tc>
      </w:tr>
      <w:tr>
        <w:tc>
          <w:tcPr>
            <w:tcW w:type="dxa" w:w="36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ARIMA residuals show negative bias</w:t>
            </w:r>
          </w:p>
        </w:tc>
        <w:tc>
          <w:tcPr>
            <w:tcW w:type="dxa" w:w="57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Structural under-prediction due to mean-reversion over 270-step horizon</w:t>
            </w:r>
          </w:p>
        </w:tc>
      </w:tr>
      <w:tr>
        <w:tc>
          <w:tcPr>
            <w:tcW w:type="dxa" w:w="36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LSTM MAPE = 20.23%</w:t>
            </w:r>
          </w:p>
        </w:tc>
        <w:tc>
          <w:tcPr>
            <w:tcW w:type="dxa" w:w="57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Acceptable accuracy for daily household consumption forecasting</w:t>
            </w:r>
          </w:p>
        </w:tc>
      </w:tr>
      <w:tr>
        <w:tc>
          <w:tcPr>
            <w:tcW w:type="dxa" w:w="36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Early stopping at approx. 6 epochs</w:t>
            </w:r>
          </w:p>
        </w:tc>
        <w:tc>
          <w:tcPr>
            <w:tcW w:type="dxa" w:w="57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Model converged quickly confirming clean data and appropriate architecture</w:t>
            </w:r>
          </w:p>
        </w:tc>
      </w:tr>
      <w:tr>
        <w:tc>
          <w:tcPr>
            <w:tcW w:type="dxa" w:w="36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Validation loss approx. 0.006</w:t>
            </w:r>
          </w:p>
        </w:tc>
        <w:tc>
          <w:tcPr>
            <w:tcW w:type="dxa" w:w="57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Low loss value confirms effective MinMaxScaler normalization and training</w:t>
            </w:r>
          </w:p>
        </w:tc>
      </w:tr>
    </w:tbl>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10. Conclusion</w:t>
      </w:r>
    </w:p>
    <w:p>
      <w:pPr>
        <w:spacing w:after="100" w:before="80"/>
        <w:jc w:val="both"/>
      </w:pPr>
      <w:r>
        <w:rPr>
          <w:rFonts w:ascii="Arial" w:cs="Arial" w:eastAsia="Arial" w:hAnsi="Arial"/>
          <w:sz w:val="22"/>
          <w:szCs w:val="22"/>
        </w:rPr>
        <w:t xml:space="preserve">This project conducted a rigorous comparative study of ARIMA and LSTM models for household electricity demand forecasting using the UCI Power Consumption dataset. The study followed a complete machine learning pipeline encompassing data procurement, preprocessing, exploratory analysis, model development, evaluation, and multi-dimensional visualization.</w:t>
      </w:r>
    </w:p>
    <w:p>
      <w:pPr>
        <w:spacing w:after="120" w:before="0"/>
      </w:pPr>
      <w:r>
        <w:t xml:space="preserve"/>
      </w:r>
    </w:p>
    <w:p>
      <w:pPr>
        <w:spacing w:after="100" w:before="80"/>
        <w:jc w:val="both"/>
      </w:pPr>
      <w:r>
        <w:rPr>
          <w:rFonts w:ascii="Arial" w:cs="Arial" w:eastAsia="Arial" w:hAnsi="Arial"/>
          <w:sz w:val="22"/>
          <w:szCs w:val="22"/>
        </w:rPr>
        <w:t xml:space="preserve">The empirical results conclusively demonstrate that LSTM outperforms ARIMA across all evaluation metrics. LSTM achieved a 66.4% reduction in MAE, 59.7% reduction in RMSE, and 72.1% reduction in MAPE compared to ARIMA. These improvements are attributable to LSTM's ability to learn nonlinear temporal dependencies through its gated memory cell architecture, while ARIMA is fundamentally constrained to modeling linear relationships.</w:t>
      </w:r>
    </w:p>
    <w:p>
      <w:pPr>
        <w:spacing w:after="120" w:before="0"/>
      </w:pPr>
      <w:r>
        <w:t xml:space="preserve"/>
      </w:r>
    </w:p>
    <w:p>
      <w:pPr>
        <w:spacing w:after="100" w:before="80"/>
        <w:jc w:val="both"/>
      </w:pPr>
      <w:r>
        <w:rPr>
          <w:rFonts w:ascii="Arial" w:cs="Arial" w:eastAsia="Arial" w:hAnsi="Arial"/>
          <w:sz w:val="22"/>
          <w:szCs w:val="22"/>
        </w:rPr>
        <w:t xml:space="preserve">ARIMA remains valuable as a transparent, interpretable baseline. Its rapid fitting and minimal computational requirements make it suitable for short-horizon forecasting where interpretability is prioritized over raw accuracy. For production electricity demand forecasting systems requiring multi-week or monthly horizons, LSTM-based models are strongly recommended based on the evidence from this study.</w:t>
      </w:r>
    </w:p>
    <w:p>
      <w:pPr>
        <w:spacing w:after="120" w:before="0"/>
      </w:pPr>
      <w:r>
        <w:t xml:space="preserve"/>
      </w:r>
    </w:p>
    <w:p>
      <w:pPr>
        <w:spacing w:after="100" w:before="80"/>
        <w:jc w:val="both"/>
      </w:pPr>
      <w:r>
        <w:rPr>
          <w:rFonts w:ascii="Arial" w:cs="Arial" w:eastAsia="Arial" w:hAnsi="Arial"/>
          <w:sz w:val="22"/>
          <w:szCs w:val="22"/>
        </w:rPr>
        <w:t xml:space="preserve">From a methodological standpoint, the project also highlights the critical importance of proper data cleaning before LSTM training. Initial experiments with unprocessed data resulted in NaN losses throughout training, and the problem was resolved only after systematic removal of zero and NaN values prior to scaling. This underscores that data quality is as important as model architecture in achieving reliable deep learning results.</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11. Future Work</w:t>
      </w:r>
    </w:p>
    <w:p>
      <w:pPr>
        <w:spacing w:after="100" w:before="80"/>
        <w:jc w:val="both"/>
      </w:pPr>
      <w:r>
        <w:rPr>
          <w:rFonts w:ascii="Arial" w:cs="Arial" w:eastAsia="Arial" w:hAnsi="Arial"/>
          <w:sz w:val="22"/>
          <w:szCs w:val="22"/>
        </w:rPr>
        <w:t xml:space="preserve">Several high-impact directions can extend this research:</w:t>
      </w:r>
    </w:p>
    <w:p>
      <w:pPr>
        <w:spacing w:after="120" w:before="0"/>
      </w:pPr>
      <w:r>
        <w:t xml:space="preserve"/>
      </w:r>
    </w:p>
    <w:p>
      <w:pPr>
        <w:pStyle w:val="ListParagraph"/>
        <w:numPr>
          <w:ilvl w:val="0"/>
          <w:numId w:val="2"/>
        </w:numPr>
        <w:spacing w:after="60" w:before="60"/>
      </w:pPr>
      <w:r>
        <w:rPr>
          <w:rFonts w:ascii="Arial" w:cs="Arial" w:eastAsia="Arial" w:hAnsi="Arial"/>
          <w:sz w:val="22"/>
          <w:szCs w:val="22"/>
        </w:rPr>
        <w:t xml:space="preserve">Hybrid ARIMA-LSTM models: Combine ARIMA's linear modeling with LSTM's nonlinear capabilities to capture both linear trends and nonlinear residuals simultaneously</w:t>
      </w:r>
    </w:p>
    <w:p>
      <w:pPr>
        <w:pStyle w:val="ListParagraph"/>
        <w:numPr>
          <w:ilvl w:val="0"/>
          <w:numId w:val="2"/>
        </w:numPr>
        <w:spacing w:after="60" w:before="60"/>
      </w:pPr>
      <w:r>
        <w:rPr>
          <w:rFonts w:ascii="Arial" w:cs="Arial" w:eastAsia="Arial" w:hAnsi="Arial"/>
          <w:sz w:val="22"/>
          <w:szCs w:val="22"/>
        </w:rPr>
        <w:t xml:space="preserve">SARIMA extension: Add seasonal parameters to ARIMA (SARIMA) to explicitly model the weekly seasonality identified in the decomposition analysis</w:t>
      </w:r>
    </w:p>
    <w:p>
      <w:pPr>
        <w:pStyle w:val="ListParagraph"/>
        <w:numPr>
          <w:ilvl w:val="0"/>
          <w:numId w:val="2"/>
        </w:numPr>
        <w:spacing w:after="60" w:before="60"/>
      </w:pPr>
      <w:r>
        <w:rPr>
          <w:rFonts w:ascii="Arial" w:cs="Arial" w:eastAsia="Arial" w:hAnsi="Arial"/>
          <w:sz w:val="22"/>
          <w:szCs w:val="22"/>
        </w:rPr>
        <w:t xml:space="preserve">Multivariate forecasting: Incorporate external features such as temperature, humidity, day-of-week indicators, and public holiday flags as additional input channels</w:t>
      </w:r>
    </w:p>
    <w:p>
      <w:pPr>
        <w:pStyle w:val="ListParagraph"/>
        <w:numPr>
          <w:ilvl w:val="0"/>
          <w:numId w:val="2"/>
        </w:numPr>
        <w:spacing w:after="60" w:before="60"/>
      </w:pPr>
      <w:r>
        <w:rPr>
          <w:rFonts w:ascii="Arial" w:cs="Arial" w:eastAsia="Arial" w:hAnsi="Arial"/>
          <w:sz w:val="22"/>
          <w:szCs w:val="22"/>
        </w:rPr>
        <w:t xml:space="preserve">Transformer-based models: Explore attention mechanisms including the Temporal Fusion Transformer and Informer for longer forecasting horizons beyond 30 days</w:t>
      </w:r>
    </w:p>
    <w:p>
      <w:pPr>
        <w:pStyle w:val="ListParagraph"/>
        <w:numPr>
          <w:ilvl w:val="0"/>
          <w:numId w:val="2"/>
        </w:numPr>
        <w:spacing w:after="60" w:before="60"/>
      </w:pPr>
      <w:r>
        <w:rPr>
          <w:rFonts w:ascii="Arial" w:cs="Arial" w:eastAsia="Arial" w:hAnsi="Arial"/>
          <w:sz w:val="22"/>
          <w:szCs w:val="22"/>
        </w:rPr>
        <w:t xml:space="preserve">Real-time forecasting pipeline: Deploy the LSTM model as a REST API for live prediction with streaming sensor data from smart meters</w:t>
      </w:r>
    </w:p>
    <w:p>
      <w:pPr>
        <w:pStyle w:val="ListParagraph"/>
        <w:numPr>
          <w:ilvl w:val="0"/>
          <w:numId w:val="2"/>
        </w:numPr>
        <w:spacing w:after="60" w:before="60"/>
      </w:pPr>
      <w:r>
        <w:rPr>
          <w:rFonts w:ascii="Arial" w:cs="Arial" w:eastAsia="Arial" w:hAnsi="Arial"/>
          <w:sz w:val="22"/>
          <w:szCs w:val="22"/>
        </w:rPr>
        <w:t xml:space="preserve">Smart grid integration: Embed forecasting models into demand-response systems for automated load balancing and energy scheduling</w:t>
      </w:r>
    </w:p>
    <w:p>
      <w:pPr>
        <w:pStyle w:val="ListParagraph"/>
        <w:numPr>
          <w:ilvl w:val="0"/>
          <w:numId w:val="2"/>
        </w:numPr>
        <w:spacing w:after="60" w:before="60"/>
      </w:pPr>
      <w:r>
        <w:rPr>
          <w:rFonts w:ascii="Arial" w:cs="Arial" w:eastAsia="Arial" w:hAnsi="Arial"/>
          <w:sz w:val="22"/>
          <w:szCs w:val="22"/>
        </w:rPr>
        <w:t xml:space="preserve">Probabilistic forecasting: Generate prediction intervals rather than point estimates to quantify forecast uncertainty for risk-aware energy planning</w:t>
      </w:r>
    </w:p>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12. Tools and Technologies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Category</w:t>
            </w:r>
          </w:p>
        </w:tc>
        <w:tc>
          <w:tcPr>
            <w:tcW w:type="dxa" w:w="280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Tool or Library</w:t>
            </w:r>
          </w:p>
        </w:tc>
        <w:tc>
          <w:tcPr>
            <w:tcW w:type="dxa" w:w="4560"/>
            <w:tcBorders>
              <w:top w:val="single" w:color="BBCFE8" w:sz="1"/>
              <w:left w:val="single" w:color="BBCFE8" w:sz="1"/>
              <w:bottom w:val="single" w:color="BBCFE8" w:sz="1"/>
              <w:right w:val="single" w:color="BBCFE8"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F4E79"/>
                <w:sz w:val="20"/>
                <w:szCs w:val="20"/>
              </w:rPr>
              <w:t xml:space="preserve">Usage</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Language</w:t>
            </w:r>
          </w:p>
        </w:tc>
        <w:tc>
          <w:tcPr>
            <w:tcW w:type="dxa" w:w="2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Python 3.12</w:t>
            </w:r>
          </w:p>
        </w:tc>
        <w:tc>
          <w:tcPr>
            <w:tcW w:type="dxa" w:w="45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Primary programming language (Google Colab)</w:t>
            </w:r>
          </w:p>
        </w:tc>
      </w:tr>
      <w:tr>
        <w:tc>
          <w:tcPr>
            <w:tcW w:type="dxa" w:w="20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Data Handling</w:t>
            </w:r>
          </w:p>
        </w:tc>
        <w:tc>
          <w:tcPr>
            <w:tcW w:type="dxa" w:w="28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Pandas, NumPy</w:t>
            </w:r>
          </w:p>
        </w:tc>
        <w:tc>
          <w:tcPr>
            <w:tcW w:type="dxa" w:w="45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Data manipulation, array operations, resampling</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Data Source</w:t>
            </w:r>
          </w:p>
        </w:tc>
        <w:tc>
          <w:tcPr>
            <w:tcW w:type="dxa" w:w="2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ucimlrepo</w:t>
            </w:r>
          </w:p>
        </w:tc>
        <w:tc>
          <w:tcPr>
            <w:tcW w:type="dxa" w:w="45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UCI dataset API access and loading</w:t>
            </w:r>
          </w:p>
        </w:tc>
      </w:tr>
      <w:tr>
        <w:tc>
          <w:tcPr>
            <w:tcW w:type="dxa" w:w="20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Visualization</w:t>
            </w:r>
          </w:p>
        </w:tc>
        <w:tc>
          <w:tcPr>
            <w:tcW w:type="dxa" w:w="28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Matplotlib (including mpl_toolkits.mplot3d)</w:t>
            </w:r>
          </w:p>
        </w:tc>
        <w:tc>
          <w:tcPr>
            <w:tcW w:type="dxa" w:w="45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All 2D and 3D plots</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Statistical Modeling</w:t>
            </w:r>
          </w:p>
        </w:tc>
        <w:tc>
          <w:tcPr>
            <w:tcW w:type="dxa" w:w="2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statsmodels</w:t>
            </w:r>
          </w:p>
        </w:tc>
        <w:tc>
          <w:tcPr>
            <w:tcW w:type="dxa" w:w="45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ARIMA model, ADF test, ACF/PACF, decomposition</w:t>
            </w:r>
          </w:p>
        </w:tc>
      </w:tr>
      <w:tr>
        <w:tc>
          <w:tcPr>
            <w:tcW w:type="dxa" w:w="20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ML Preprocessing</w:t>
            </w:r>
          </w:p>
        </w:tc>
        <w:tc>
          <w:tcPr>
            <w:tcW w:type="dxa" w:w="28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Scikit-learn</w:t>
            </w:r>
          </w:p>
        </w:tc>
        <w:tc>
          <w:tcPr>
            <w:tcW w:type="dxa" w:w="45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MinMaxScaler normalization, MAE and RMSE metrics</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Deep Learning</w:t>
            </w:r>
          </w:p>
        </w:tc>
        <w:tc>
          <w:tcPr>
            <w:tcW w:type="dxa" w:w="2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TensorFlow 2.x / Keras</w:t>
            </w:r>
          </w:p>
        </w:tc>
        <w:tc>
          <w:tcPr>
            <w:tcW w:type="dxa" w:w="45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LSTM architecture, training, and prediction</w:t>
            </w:r>
          </w:p>
        </w:tc>
      </w:tr>
      <w:tr>
        <w:tc>
          <w:tcPr>
            <w:tcW w:type="dxa" w:w="20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left"/>
            </w:pPr>
            <w:r>
              <w:rPr>
                <w:rFonts w:ascii="Arial" w:cs="Arial" w:eastAsia="Arial" w:hAnsi="Arial"/>
                <w:sz w:val="20"/>
                <w:szCs w:val="20"/>
              </w:rPr>
              <w:t xml:space="preserve">Environment</w:t>
            </w:r>
          </w:p>
        </w:tc>
        <w:tc>
          <w:tcPr>
            <w:tcW w:type="dxa" w:w="280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Google Colab</w:t>
            </w:r>
          </w:p>
        </w:tc>
        <w:tc>
          <w:tcPr>
            <w:tcW w:type="dxa" w:w="4560"/>
            <w:tcBorders>
              <w:top w:val="single" w:color="BBCFE8" w:sz="1"/>
              <w:left w:val="single" w:color="BBCFE8" w:sz="1"/>
              <w:bottom w:val="single" w:color="BBCFE8" w:sz="1"/>
              <w:right w:val="single" w:color="BBCFE8" w:sz="1"/>
            </w:tcBorders>
            <w:shd w:fill="E8F4FD" w:val="clear"/>
            <w:tcMar>
              <w:top w:type="dxa" w:w="80"/>
              <w:left w:type="dxa" w:w="140"/>
              <w:bottom w:type="dxa" w:w="80"/>
              <w:right w:type="dxa" w:w="140"/>
            </w:tcMar>
          </w:tcPr>
          <w:p>
            <w:pPr>
              <w:jc w:val="center"/>
            </w:pPr>
            <w:r>
              <w:rPr>
                <w:rFonts w:ascii="Arial" w:cs="Arial" w:eastAsia="Arial" w:hAnsi="Arial"/>
                <w:sz w:val="20"/>
                <w:szCs w:val="20"/>
              </w:rPr>
              <w:t xml:space="preserve">Cloud-based GPU-accelerated execution</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left"/>
            </w:pPr>
            <w:r>
              <w:rPr>
                <w:rFonts w:ascii="Arial" w:cs="Arial" w:eastAsia="Arial" w:hAnsi="Arial"/>
                <w:sz w:val="20"/>
                <w:szCs w:val="20"/>
              </w:rPr>
              <w:t xml:space="preserve">Version Control</w:t>
            </w:r>
          </w:p>
        </w:tc>
        <w:tc>
          <w:tcPr>
            <w:tcW w:type="dxa" w:w="280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GitHub</w:t>
            </w:r>
          </w:p>
        </w:tc>
        <w:tc>
          <w:tcPr>
            <w:tcW w:type="dxa" w:w="4560"/>
            <w:tcBorders>
              <w:top w:val="single" w:color="BBCFE8" w:sz="1"/>
              <w:left w:val="single" w:color="BBCFE8" w:sz="1"/>
              <w:bottom w:val="single" w:color="BBCFE8" w:sz="1"/>
              <w:right w:val="single" w:color="BBCFE8" w:sz="1"/>
            </w:tcBorders>
            <w:shd w:fill="FFFFFF" w:val="clear"/>
            <w:tcMar>
              <w:top w:type="dxa" w:w="80"/>
              <w:left w:type="dxa" w:w="140"/>
              <w:bottom w:type="dxa" w:w="80"/>
              <w:right w:type="dxa" w:w="140"/>
            </w:tcMar>
          </w:tcPr>
          <w:p>
            <w:pPr>
              <w:jc w:val="center"/>
            </w:pPr>
            <w:r>
              <w:rPr>
                <w:rFonts w:ascii="Arial" w:cs="Arial" w:eastAsia="Arial" w:hAnsi="Arial"/>
                <w:sz w:val="20"/>
                <w:szCs w:val="20"/>
              </w:rPr>
              <w:t xml:space="preserve">Project repository, documentation, notebook hosting</w:t>
            </w:r>
          </w:p>
        </w:tc>
      </w:tr>
    </w:tbl>
    <w:p>
      <w:pPr>
        <w:pBdr>
          <w:bottom w:val="single" w:color="BBCFE8" w:sz="4" w:space="1"/>
        </w:pBdr>
        <w:spacing w:after="160" w:before="160"/>
      </w:pPr>
      <w:r>
        <w:t xml:space="preserve"/>
      </w:r>
    </w:p>
    <w:p>
      <w:pPr>
        <w:pStyle w:val="Heading1"/>
        <w:spacing w:after="160" w:before="360"/>
      </w:pPr>
      <w:r>
        <w:rPr>
          <w:rFonts w:ascii="Arial" w:cs="Arial" w:eastAsia="Arial" w:hAnsi="Arial"/>
          <w:b/>
          <w:bCs/>
          <w:color w:val="1F4E79"/>
          <w:sz w:val="32"/>
          <w:szCs w:val="32"/>
        </w:rPr>
        <w:t xml:space="preserve">13. References</w:t>
      </w:r>
    </w:p>
    <w:p>
      <w:pPr>
        <w:spacing w:after="120" w:before="0"/>
      </w:pPr>
      <w:r>
        <w:t xml:space="preserve"/>
      </w:r>
    </w:p>
    <w:p>
      <w:pPr>
        <w:spacing w:after="60" w:before="120"/>
        <w:ind w:left="720" w:hanging="720"/>
      </w:pPr>
      <w:r>
        <w:rPr>
          <w:rFonts w:ascii="Arial" w:cs="Arial" w:eastAsia="Arial" w:hAnsi="Arial"/>
          <w:sz w:val="20"/>
          <w:szCs w:val="20"/>
        </w:rPr>
        <w:t xml:space="preserve">[1]  Box, G. E. P., &amp; Jenkins, G. M. (1970). Time series analysis: Forecasting and control. Holden-Day.</w:t>
      </w:r>
    </w:p>
    <w:p>
      <w:pPr>
        <w:spacing w:after="60" w:before="120"/>
        <w:ind w:left="720" w:hanging="720"/>
      </w:pPr>
      <w:r>
        <w:rPr>
          <w:rFonts w:ascii="Arial" w:cs="Arial" w:eastAsia="Arial" w:hAnsi="Arial"/>
          <w:sz w:val="20"/>
          <w:szCs w:val="20"/>
        </w:rPr>
        <w:t xml:space="preserve">[2]  Hochreiter, S., &amp; Schmidhuber, J. (1997). Long short-term memory. Neural Computation, 9(8), 1735-1780.</w:t>
      </w:r>
    </w:p>
    <w:p>
      <w:pPr>
        <w:spacing w:after="60" w:before="120"/>
        <w:ind w:left="720" w:hanging="720"/>
      </w:pPr>
      <w:r>
        <w:rPr>
          <w:rFonts w:ascii="Arial" w:cs="Arial" w:eastAsia="Arial" w:hAnsi="Arial"/>
          <w:sz w:val="20"/>
          <w:szCs w:val="20"/>
        </w:rPr>
        <w:t xml:space="preserve">[3]  Zhang, G. P. (2003). Time series forecasting using a hybrid ARIMA and neural network model. Neurocomputing, 50, 159-175.</w:t>
      </w:r>
    </w:p>
    <w:p>
      <w:pPr>
        <w:spacing w:after="60" w:before="120"/>
        <w:ind w:left="720" w:hanging="720"/>
      </w:pPr>
      <w:r>
        <w:rPr>
          <w:rFonts w:ascii="Arial" w:cs="Arial" w:eastAsia="Arial" w:hAnsi="Arial"/>
          <w:sz w:val="20"/>
          <w:szCs w:val="20"/>
        </w:rPr>
        <w:t xml:space="preserve">[4]  Bouktif, S., Fiaz, A., Ouni, A., &amp; Serhani, M. A. (2018). Optimal deep learning LSTM model for electric load forecasting using feature selection and genetic algorithm. Energies, 11(7), 1636.</w:t>
      </w:r>
    </w:p>
    <w:p>
      <w:pPr>
        <w:spacing w:after="60" w:before="120"/>
        <w:ind w:left="720" w:hanging="720"/>
      </w:pPr>
      <w:r>
        <w:rPr>
          <w:rFonts w:ascii="Arial" w:cs="Arial" w:eastAsia="Arial" w:hAnsi="Arial"/>
          <w:sz w:val="20"/>
          <w:szCs w:val="20"/>
        </w:rPr>
        <w:t xml:space="preserve">[5]  Kong, W., Dong, Z. Y., Jia, Y., Hill, D. J., Xu, Y., &amp; Zhang, Y. (2019). Short-term residential load forecasting based on LSTM recurrent neural network. IEEE Transactions on Smart Grid, 10(1), 841-851.</w:t>
      </w:r>
    </w:p>
    <w:p>
      <w:pPr>
        <w:spacing w:after="60" w:before="120"/>
        <w:ind w:left="720" w:hanging="720"/>
      </w:pPr>
      <w:r>
        <w:rPr>
          <w:rFonts w:ascii="Arial" w:cs="Arial" w:eastAsia="Arial" w:hAnsi="Arial"/>
          <w:sz w:val="20"/>
          <w:szCs w:val="20"/>
        </w:rPr>
        <w:t xml:space="preserve">[6]  Géron, A. (2022). Hands-on machine learning with Scikit-Learn, Keras, and TensorFlow (3rd ed.). O'Reilly Media.</w:t>
      </w:r>
    </w:p>
    <w:p>
      <w:pPr>
        <w:spacing w:after="60" w:before="120"/>
        <w:ind w:left="720" w:hanging="720"/>
      </w:pPr>
      <w:r>
        <w:rPr>
          <w:rFonts w:ascii="Arial" w:cs="Arial" w:eastAsia="Arial" w:hAnsi="Arial"/>
          <w:sz w:val="20"/>
          <w:szCs w:val="20"/>
        </w:rPr>
        <w:t xml:space="preserve">[7]  UCI Machine Learning Repository. (2012). Individual Household Electric Power Consumption Dataset. Retrieved from https://archive.ics.uci.edu/dataset/235</w:t>
      </w:r>
    </w:p>
    <w:p>
      <w:pPr>
        <w:spacing w:after="60" w:before="120"/>
        <w:ind w:left="720" w:hanging="720"/>
      </w:pPr>
      <w:r>
        <w:rPr>
          <w:rFonts w:ascii="Arial" w:cs="Arial" w:eastAsia="Arial" w:hAnsi="Arial"/>
          <w:sz w:val="20"/>
          <w:szCs w:val="20"/>
        </w:rPr>
        <w:t xml:space="preserve">[8]  Chollet, F. (2021). Deep learning with Python (2nd ed.). Manning Publications.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8" w:sz="4" w:space="1"/>
      </w:pBdr>
      <w:spacing w:before="120"/>
      <w:jc w:val="center"/>
    </w:pPr>
    <w:r>
      <w:rPr>
        <w:rFonts w:ascii="Arial" w:cs="Arial" w:eastAsia="Arial" w:hAnsi="Arial"/>
        <w:color w:val="888888"/>
        <w:sz w:val="18"/>
        <w:szCs w:val="18"/>
      </w:rPr>
      <w:t xml:space="preserve">Time Series Forecasting: ARIMA vs LSTM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2026-05-04T04:23:36.727Z</dcterms:created>
  <dcterms:modified xsi:type="dcterms:W3CDTF">2026-05-04T04:23:36.727Z</dcterms:modified>
</cp:coreProperties>
</file>

<file path=docProps/custom.xml><?xml version="1.0" encoding="utf-8"?>
<Properties xmlns="http://schemas.openxmlformats.org/officeDocument/2006/custom-properties" xmlns:vt="http://schemas.openxmlformats.org/officeDocument/2006/docPropsVTypes"/>
</file>