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41D" w:rsidRPr="00CE341D" w:rsidRDefault="00CE341D" w:rsidP="00CE34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341D">
        <w:rPr>
          <w:rFonts w:ascii="Times New Roman" w:eastAsia="Times New Roman" w:hAnsi="Times New Roman" w:cs="Times New Roman"/>
          <w:b/>
          <w:bCs/>
          <w:kern w:val="36"/>
          <w:sz w:val="48"/>
          <w:szCs w:val="48"/>
        </w:rPr>
        <w:t>Vulnerability Assessment Report</w:t>
      </w:r>
    </w:p>
    <w:p w:rsidR="00CE341D" w:rsidRPr="00CE341D" w:rsidRDefault="00CE341D" w:rsidP="00CE341D">
      <w:pPr>
        <w:spacing w:before="100" w:beforeAutospacing="1" w:after="100" w:afterAutospacing="1" w:line="240" w:lineRule="auto"/>
        <w:outlineLvl w:val="1"/>
        <w:rPr>
          <w:rFonts w:ascii="Times New Roman" w:eastAsia="Times New Roman" w:hAnsi="Times New Roman" w:cs="Times New Roman"/>
          <w:b/>
          <w:bCs/>
          <w:sz w:val="36"/>
          <w:szCs w:val="36"/>
        </w:rPr>
      </w:pPr>
      <w:r w:rsidRPr="00CE341D">
        <w:rPr>
          <w:rFonts w:ascii="Times New Roman" w:eastAsia="Times New Roman" w:hAnsi="Times New Roman" w:cs="Times New Roman"/>
          <w:b/>
          <w:bCs/>
          <w:sz w:val="36"/>
          <w:szCs w:val="36"/>
        </w:rPr>
        <w:t>Purpose</w:t>
      </w:r>
    </w:p>
    <w:p w:rsidR="00CE341D" w:rsidRPr="00CE341D" w:rsidRDefault="00CE341D" w:rsidP="00CE341D">
      <w:pPr>
        <w:spacing w:before="100" w:beforeAutospacing="1" w:after="100" w:afterAutospacing="1"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The purpose of this vulnerability assessment is to identify and evaluate the security risks associated with the company's publicly accessible remote database server. The database is a critical business asset because it stores customer information that employees around the world rely on to identify potential customers and support daily business operations. Since the server has remained publicly accessible for the past three years, it is exposed to a high risk of unauthorized access and cyberattacks. A successful attack could result in data breaches, service disruption, financial loss, legal penalties, and damage to the company's reputation. This assessment identifies the most significant threats and recommends security controls to protect the confidentiality, integrity, and availability of the organization's information.</w:t>
      </w:r>
    </w:p>
    <w:p w:rsidR="00CE341D" w:rsidRPr="00CE341D" w:rsidRDefault="00CE341D" w:rsidP="00CE341D">
      <w:pPr>
        <w:spacing w:before="100" w:beforeAutospacing="1" w:after="100" w:afterAutospacing="1" w:line="240" w:lineRule="auto"/>
        <w:outlineLvl w:val="1"/>
        <w:rPr>
          <w:rFonts w:ascii="Times New Roman" w:eastAsia="Times New Roman" w:hAnsi="Times New Roman" w:cs="Times New Roman"/>
          <w:b/>
          <w:bCs/>
          <w:sz w:val="36"/>
          <w:szCs w:val="36"/>
        </w:rPr>
      </w:pPr>
      <w:r w:rsidRPr="00CE341D">
        <w:rPr>
          <w:rFonts w:ascii="Times New Roman" w:eastAsia="Times New Roman" w:hAnsi="Times New Roman" w:cs="Times New Roman"/>
          <w:b/>
          <w:bCs/>
          <w:sz w:val="36"/>
          <w:szCs w:val="36"/>
        </w:rPr>
        <w:t>Risk Assessment</w:t>
      </w:r>
    </w:p>
    <w:tbl>
      <w:tblPr>
        <w:tblW w:w="9440" w:type="dxa"/>
        <w:tblCellSpacing w:w="15" w:type="dxa"/>
        <w:tblCellMar>
          <w:top w:w="15" w:type="dxa"/>
          <w:left w:w="15" w:type="dxa"/>
          <w:bottom w:w="15" w:type="dxa"/>
          <w:right w:w="15" w:type="dxa"/>
        </w:tblCellMar>
        <w:tblLook w:val="04A0" w:firstRow="1" w:lastRow="0" w:firstColumn="1" w:lastColumn="0" w:noHBand="0" w:noVBand="1"/>
      </w:tblPr>
      <w:tblGrid>
        <w:gridCol w:w="1904"/>
        <w:gridCol w:w="30"/>
        <w:gridCol w:w="3377"/>
        <w:gridCol w:w="1385"/>
        <w:gridCol w:w="596"/>
        <w:gridCol w:w="459"/>
        <w:gridCol w:w="459"/>
        <w:gridCol w:w="30"/>
        <w:gridCol w:w="1200"/>
      </w:tblGrid>
      <w:tr w:rsidR="00CE341D" w:rsidRPr="00CE341D" w:rsidTr="00CE341D">
        <w:trPr>
          <w:gridAfter w:val="2"/>
          <w:tblHeader/>
          <w:tblCellSpacing w:w="15" w:type="dxa"/>
        </w:trPr>
        <w:tc>
          <w:tcPr>
            <w:tcW w:w="0" w:type="auto"/>
            <w:gridSpan w:val="2"/>
            <w:vAlign w:val="center"/>
            <w:hideMark/>
          </w:tcPr>
          <w:p w:rsidR="00CE341D" w:rsidRPr="00CE341D" w:rsidRDefault="00CE341D" w:rsidP="00CE341D">
            <w:pPr>
              <w:spacing w:after="0" w:line="240" w:lineRule="auto"/>
              <w:jc w:val="center"/>
              <w:rPr>
                <w:rFonts w:ascii="Times New Roman" w:eastAsia="Times New Roman" w:hAnsi="Times New Roman" w:cs="Times New Roman"/>
                <w:b/>
                <w:bCs/>
                <w:sz w:val="24"/>
                <w:szCs w:val="24"/>
              </w:rPr>
            </w:pPr>
            <w:r w:rsidRPr="00CE341D">
              <w:rPr>
                <w:rFonts w:ascii="Times New Roman" w:eastAsia="Times New Roman" w:hAnsi="Times New Roman" w:cs="Times New Roman"/>
                <w:b/>
                <w:bCs/>
                <w:sz w:val="24"/>
                <w:szCs w:val="24"/>
              </w:rPr>
              <w:t>Threat Event</w:t>
            </w:r>
          </w:p>
        </w:tc>
        <w:tc>
          <w:tcPr>
            <w:tcW w:w="0" w:type="auto"/>
            <w:vAlign w:val="center"/>
            <w:hideMark/>
          </w:tcPr>
          <w:p w:rsidR="00CE341D" w:rsidRPr="00CE341D" w:rsidRDefault="00CE341D" w:rsidP="00CE341D">
            <w:pPr>
              <w:spacing w:after="0" w:line="240" w:lineRule="auto"/>
              <w:jc w:val="center"/>
              <w:rPr>
                <w:rFonts w:ascii="Times New Roman" w:eastAsia="Times New Roman" w:hAnsi="Times New Roman" w:cs="Times New Roman"/>
                <w:b/>
                <w:bCs/>
                <w:sz w:val="24"/>
                <w:szCs w:val="24"/>
              </w:rPr>
            </w:pPr>
            <w:r w:rsidRPr="00CE341D">
              <w:rPr>
                <w:rFonts w:ascii="Times New Roman" w:eastAsia="Times New Roman" w:hAnsi="Times New Roman" w:cs="Times New Roman"/>
                <w:b/>
                <w:bCs/>
                <w:sz w:val="24"/>
                <w:szCs w:val="24"/>
              </w:rPr>
              <w:t>Likelihood (1-3)</w:t>
            </w:r>
          </w:p>
        </w:tc>
        <w:tc>
          <w:tcPr>
            <w:tcW w:w="0" w:type="auto"/>
            <w:gridSpan w:val="2"/>
            <w:vAlign w:val="center"/>
            <w:hideMark/>
          </w:tcPr>
          <w:p w:rsidR="00CE341D" w:rsidRPr="00CE341D" w:rsidRDefault="00CE341D" w:rsidP="00CE341D">
            <w:pPr>
              <w:spacing w:after="0" w:line="240" w:lineRule="auto"/>
              <w:jc w:val="center"/>
              <w:rPr>
                <w:rFonts w:ascii="Times New Roman" w:eastAsia="Times New Roman" w:hAnsi="Times New Roman" w:cs="Times New Roman"/>
                <w:b/>
                <w:bCs/>
                <w:sz w:val="24"/>
                <w:szCs w:val="24"/>
              </w:rPr>
            </w:pPr>
            <w:r w:rsidRPr="00CE341D">
              <w:rPr>
                <w:rFonts w:ascii="Times New Roman" w:eastAsia="Times New Roman" w:hAnsi="Times New Roman" w:cs="Times New Roman"/>
                <w:b/>
                <w:bCs/>
                <w:sz w:val="24"/>
                <w:szCs w:val="24"/>
              </w:rPr>
              <w:t>Severity (1-3)</w:t>
            </w:r>
          </w:p>
        </w:tc>
        <w:tc>
          <w:tcPr>
            <w:tcW w:w="0" w:type="auto"/>
            <w:gridSpan w:val="2"/>
            <w:vAlign w:val="center"/>
            <w:hideMark/>
          </w:tcPr>
          <w:p w:rsidR="00CE341D" w:rsidRPr="00CE341D" w:rsidRDefault="00CE341D" w:rsidP="00CE341D">
            <w:pPr>
              <w:spacing w:after="0" w:line="240" w:lineRule="auto"/>
              <w:jc w:val="center"/>
              <w:rPr>
                <w:rFonts w:ascii="Times New Roman" w:eastAsia="Times New Roman" w:hAnsi="Times New Roman" w:cs="Times New Roman"/>
                <w:b/>
                <w:bCs/>
                <w:sz w:val="24"/>
                <w:szCs w:val="24"/>
              </w:rPr>
            </w:pPr>
            <w:r w:rsidRPr="00CE341D">
              <w:rPr>
                <w:rFonts w:ascii="Times New Roman" w:eastAsia="Times New Roman" w:hAnsi="Times New Roman" w:cs="Times New Roman"/>
                <w:b/>
                <w:bCs/>
                <w:sz w:val="24"/>
                <w:szCs w:val="24"/>
              </w:rPr>
              <w:t>Risk Score</w:t>
            </w:r>
          </w:p>
        </w:tc>
      </w:tr>
      <w:tr w:rsidR="00CE341D" w:rsidRPr="00CE341D" w:rsidTr="00CE341D">
        <w:trPr>
          <w:tblCellSpacing w:w="15" w:type="dxa"/>
        </w:trPr>
        <w:tc>
          <w:tcPr>
            <w:tcW w:w="1858" w:type="dxa"/>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External Cybercriminal</w:t>
            </w:r>
          </w:p>
        </w:tc>
        <w:tc>
          <w:tcPr>
            <w:tcW w:w="0" w:type="auto"/>
            <w:gridSpan w:val="3"/>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Gains unauthorized access and steals sensitive customer data</w:t>
            </w:r>
          </w:p>
        </w:tc>
        <w:tc>
          <w:tcPr>
            <w:tcW w:w="0" w:type="auto"/>
            <w:gridSpan w:val="2"/>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3</w:t>
            </w:r>
          </w:p>
        </w:tc>
        <w:tc>
          <w:tcPr>
            <w:tcW w:w="0" w:type="auto"/>
            <w:gridSpan w:val="2"/>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3</w:t>
            </w:r>
          </w:p>
        </w:tc>
        <w:tc>
          <w:tcPr>
            <w:tcW w:w="0" w:type="auto"/>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b/>
                <w:bCs/>
                <w:sz w:val="24"/>
                <w:szCs w:val="24"/>
              </w:rPr>
              <w:t>9 (High)</w:t>
            </w:r>
          </w:p>
        </w:tc>
      </w:tr>
      <w:tr w:rsidR="00CE341D" w:rsidRPr="00CE341D" w:rsidTr="00CE341D">
        <w:trPr>
          <w:tblCellSpacing w:w="15" w:type="dxa"/>
        </w:trPr>
        <w:tc>
          <w:tcPr>
            <w:tcW w:w="1858" w:type="dxa"/>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Hacker or Competitor</w:t>
            </w:r>
          </w:p>
        </w:tc>
        <w:tc>
          <w:tcPr>
            <w:tcW w:w="0" w:type="auto"/>
            <w:gridSpan w:val="3"/>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Launches a Denial-of-Service (</w:t>
            </w:r>
            <w:proofErr w:type="spellStart"/>
            <w:r w:rsidRPr="00CE341D">
              <w:rPr>
                <w:rFonts w:ascii="Times New Roman" w:eastAsia="Times New Roman" w:hAnsi="Times New Roman" w:cs="Times New Roman"/>
                <w:sz w:val="24"/>
                <w:szCs w:val="24"/>
              </w:rPr>
              <w:t>DoS</w:t>
            </w:r>
            <w:proofErr w:type="spellEnd"/>
            <w:r w:rsidRPr="00CE341D">
              <w:rPr>
                <w:rFonts w:ascii="Times New Roman" w:eastAsia="Times New Roman" w:hAnsi="Times New Roman" w:cs="Times New Roman"/>
                <w:sz w:val="24"/>
                <w:szCs w:val="24"/>
              </w:rPr>
              <w:t>) attack, making the database unavailable</w:t>
            </w:r>
          </w:p>
        </w:tc>
        <w:tc>
          <w:tcPr>
            <w:tcW w:w="0" w:type="auto"/>
            <w:gridSpan w:val="2"/>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2</w:t>
            </w:r>
          </w:p>
        </w:tc>
        <w:tc>
          <w:tcPr>
            <w:tcW w:w="0" w:type="auto"/>
            <w:gridSpan w:val="2"/>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3</w:t>
            </w:r>
          </w:p>
        </w:tc>
        <w:tc>
          <w:tcPr>
            <w:tcW w:w="0" w:type="auto"/>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b/>
                <w:bCs/>
                <w:sz w:val="24"/>
                <w:szCs w:val="24"/>
              </w:rPr>
              <w:t>6 (Medium)</w:t>
            </w:r>
          </w:p>
        </w:tc>
      </w:tr>
      <w:tr w:rsidR="00CE341D" w:rsidRPr="00CE341D" w:rsidTr="00CE341D">
        <w:trPr>
          <w:tblCellSpacing w:w="15" w:type="dxa"/>
        </w:trPr>
        <w:tc>
          <w:tcPr>
            <w:tcW w:w="1858" w:type="dxa"/>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Malicious Insider</w:t>
            </w:r>
          </w:p>
        </w:tc>
        <w:tc>
          <w:tcPr>
            <w:tcW w:w="0" w:type="auto"/>
            <w:gridSpan w:val="3"/>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Modifies, deletes, or misuses customer records without authorization</w:t>
            </w:r>
          </w:p>
        </w:tc>
        <w:tc>
          <w:tcPr>
            <w:tcW w:w="0" w:type="auto"/>
            <w:gridSpan w:val="2"/>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2</w:t>
            </w:r>
          </w:p>
        </w:tc>
        <w:tc>
          <w:tcPr>
            <w:tcW w:w="0" w:type="auto"/>
            <w:gridSpan w:val="2"/>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3</w:t>
            </w:r>
          </w:p>
        </w:tc>
        <w:tc>
          <w:tcPr>
            <w:tcW w:w="0" w:type="auto"/>
            <w:vAlign w:val="center"/>
            <w:hideMark/>
          </w:tcPr>
          <w:p w:rsidR="00CE341D" w:rsidRPr="00CE341D" w:rsidRDefault="00CE341D" w:rsidP="00CE341D">
            <w:pPr>
              <w:spacing w:after="0"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b/>
                <w:bCs/>
                <w:sz w:val="24"/>
                <w:szCs w:val="24"/>
              </w:rPr>
              <w:t>6 (Medium)</w:t>
            </w:r>
          </w:p>
        </w:tc>
        <w:bookmarkStart w:id="0" w:name="_GoBack"/>
        <w:bookmarkEnd w:id="0"/>
      </w:tr>
    </w:tbl>
    <w:p w:rsidR="00CE341D" w:rsidRPr="00CE341D" w:rsidRDefault="00CE341D" w:rsidP="00CE341D">
      <w:pPr>
        <w:spacing w:before="100" w:beforeAutospacing="1" w:after="100" w:afterAutospacing="1" w:line="240" w:lineRule="auto"/>
        <w:outlineLvl w:val="1"/>
        <w:rPr>
          <w:rFonts w:ascii="Times New Roman" w:eastAsia="Times New Roman" w:hAnsi="Times New Roman" w:cs="Times New Roman"/>
          <w:b/>
          <w:bCs/>
          <w:sz w:val="36"/>
          <w:szCs w:val="36"/>
        </w:rPr>
      </w:pPr>
      <w:r w:rsidRPr="00CE341D">
        <w:rPr>
          <w:rFonts w:ascii="Times New Roman" w:eastAsia="Times New Roman" w:hAnsi="Times New Roman" w:cs="Times New Roman"/>
          <w:b/>
          <w:bCs/>
          <w:sz w:val="36"/>
          <w:szCs w:val="36"/>
        </w:rPr>
        <w:t>Approach</w:t>
      </w:r>
    </w:p>
    <w:p w:rsidR="00CE341D" w:rsidRPr="00CE341D" w:rsidRDefault="00CE341D" w:rsidP="00CE341D">
      <w:pPr>
        <w:spacing w:before="100" w:beforeAutospacing="1" w:after="100" w:afterAutospacing="1"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This assessment follows the qualitative risk assessment methodology described in the NIST SP 800-30 Rev. 1 framework. The selected threats were chosen because they are among the most common and damaging risks for internet-facing database servers. Unauthorized access presents the highest risk because the database is publicly accessible and contains valuable customer information. Denial-of-Service attacks could interrupt business operations by preventing employees from accessing essential data, while insider threats could compromise the integrity of customer records. Each risk was evaluated based on its likelihood of occurrence and its potential impact on business operations, customer trust, and regulatory compliance.</w:t>
      </w:r>
    </w:p>
    <w:p w:rsidR="00CE341D" w:rsidRPr="00CE341D" w:rsidRDefault="00CE341D" w:rsidP="00CE341D">
      <w:pPr>
        <w:spacing w:before="100" w:beforeAutospacing="1" w:after="100" w:afterAutospacing="1" w:line="240" w:lineRule="auto"/>
        <w:outlineLvl w:val="1"/>
        <w:rPr>
          <w:rFonts w:ascii="Times New Roman" w:eastAsia="Times New Roman" w:hAnsi="Times New Roman" w:cs="Times New Roman"/>
          <w:b/>
          <w:bCs/>
          <w:sz w:val="36"/>
          <w:szCs w:val="36"/>
        </w:rPr>
      </w:pPr>
      <w:r w:rsidRPr="00CE341D">
        <w:rPr>
          <w:rFonts w:ascii="Times New Roman" w:eastAsia="Times New Roman" w:hAnsi="Times New Roman" w:cs="Times New Roman"/>
          <w:b/>
          <w:bCs/>
          <w:sz w:val="36"/>
          <w:szCs w:val="36"/>
        </w:rPr>
        <w:t>Remediation</w:t>
      </w:r>
    </w:p>
    <w:p w:rsidR="00CE341D" w:rsidRPr="00CE341D" w:rsidRDefault="00CE341D" w:rsidP="00CE341D">
      <w:pPr>
        <w:spacing w:before="100" w:beforeAutospacing="1" w:after="100" w:afterAutospacing="1" w:line="240" w:lineRule="auto"/>
        <w:rPr>
          <w:rFonts w:ascii="Times New Roman" w:eastAsia="Times New Roman" w:hAnsi="Times New Roman" w:cs="Times New Roman"/>
          <w:sz w:val="24"/>
          <w:szCs w:val="24"/>
        </w:rPr>
      </w:pPr>
      <w:r w:rsidRPr="00CE341D">
        <w:rPr>
          <w:rFonts w:ascii="Times New Roman" w:eastAsia="Times New Roman" w:hAnsi="Times New Roman" w:cs="Times New Roman"/>
          <w:sz w:val="24"/>
          <w:szCs w:val="24"/>
        </w:rPr>
        <w:t xml:space="preserve">The organization should immediately remove public access to the database server and limit access to authorized users through the principle of least privilege. Multi-Factor Authentication (MFA) should be required for all employees, and the Authentication, Authorization, and Accounting (AAA) framework should be implemented to control and monitor user access. </w:t>
      </w:r>
      <w:r w:rsidRPr="00CE341D">
        <w:rPr>
          <w:rFonts w:ascii="Times New Roman" w:eastAsia="Times New Roman" w:hAnsi="Times New Roman" w:cs="Times New Roman"/>
          <w:sz w:val="24"/>
          <w:szCs w:val="24"/>
        </w:rPr>
        <w:lastRenderedPageBreak/>
        <w:t>Defense-in-depth security measures, including firewalls, network segmentation, encryption for data in transit and at rest, intrusion detection and prevention systems (IDS/IPS), and continuous security monitoring, should also be deployed. Regular vulnerability assessments, security patching, access reviews, and employee security awareness training should be conducted to reduce future risks and maintain a strong security posture.</w:t>
      </w:r>
    </w:p>
    <w:p w:rsidR="00322E02" w:rsidRDefault="00322E02"/>
    <w:sectPr w:rsidR="00322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41D"/>
    <w:rsid w:val="00322E02"/>
    <w:rsid w:val="00CE3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8CC54"/>
  <w15:chartTrackingRefBased/>
  <w15:docId w15:val="{A25F1AD5-2DE7-4BE4-B8F4-E713A17C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E34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34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4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341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E34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34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735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2026-07-19T14:14:00Z</dcterms:created>
  <dcterms:modified xsi:type="dcterms:W3CDTF">2026-07-19T14:16:00Z</dcterms:modified>
</cp:coreProperties>
</file>