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7A6C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PLATFORM: LinkedIn  |  Limit: 3,000 characters (aim for 150–300)  |  Image: 1200×627px</w:t>
      </w:r>
    </w:p>
    <w:p>
      <w:pPr>
        <w:pStyle w:val="Heading1"/>
        <w:pBdr>
          <w:bottom w:val="single" w:color="5B3E96" w:sz="12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5B3E96"/>
          <w:sz w:val="34"/>
          <w:szCs w:val="34"/>
        </w:rPr>
        <w:t xml:space="preserve">[Post Title / Internal Reference Name]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Author: [Name/Team]   |   Post date: [Date]   |   Post type: [Update / Article / Milestone / Hiring]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Hook (first 1–2 lines — shown before "see more")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[Attention-grabbing opening line — question, bold statement, or stat]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Body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[Main message — 2–4 short paragraphs or a bulleted list. Keep sentences short; use line breaks generously]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Call to Action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[What you want the reader to do — comment, click link, share, apply]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Hashtags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[3–5 relevant hashtags, e.g. #YourCompany #Industry #Topic]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Visual Asset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[Image, carousel, or video description — attach 1200×627px image or native video]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Link (if applicable)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[URL — note: LinkedIn favors posts without external links; consider adding link in first comment]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of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LinkedIn Post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2026-08-13T14:38:10.449Z</dcterms:created>
  <dcterms:modified xsi:type="dcterms:W3CDTF">2026-08-13T14:38:10.466Z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