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5D47" w:rsidRDefault="00A332B9">
      <w:pPr>
        <w:spacing w:after="400"/>
        <w:jc w:val="center"/>
      </w:pPr>
      <w:r>
        <w:rPr>
          <w:rFonts w:ascii="Calibri" w:eastAsia="Calibri" w:hAnsi="Calibri" w:cs="Calibri"/>
          <w:color w:val="6E6E6E"/>
          <w:sz w:val="18"/>
          <w:szCs w:val="18"/>
        </w:rPr>
        <w:t>HORQUVA®   |   VEGA COMMUNITY ENGAGEMENT PLAN — Volume VII</w:t>
      </w:r>
    </w:p>
    <w:p w:rsidR="002B5D47" w:rsidRDefault="002B5D47">
      <w:pPr>
        <w:pBdr>
          <w:bottom w:val="single" w:sz="4" w:space="1" w:color="D8C8AE"/>
        </w:pBdr>
        <w:spacing w:after="700"/>
      </w:pPr>
    </w:p>
    <w:p w:rsidR="002B5D47" w:rsidRDefault="00A332B9">
      <w:pPr>
        <w:spacing w:after="200"/>
        <w:jc w:val="center"/>
      </w:pPr>
      <w:r>
        <w:rPr>
          <w:rFonts w:ascii="Calibri" w:eastAsia="Calibri" w:hAnsi="Calibri" w:cs="Calibri"/>
          <w:b/>
          <w:bCs/>
          <w:color w:val="1B2A41"/>
          <w:sz w:val="56"/>
          <w:szCs w:val="56"/>
        </w:rPr>
        <w:t>H O R Q U V A ®</w:t>
      </w:r>
    </w:p>
    <w:p w:rsidR="002B5D47" w:rsidRDefault="00A332B9">
      <w:pPr>
        <w:spacing w:after="60"/>
        <w:jc w:val="center"/>
      </w:pPr>
      <w:r>
        <w:rPr>
          <w:rFonts w:ascii="Calibri" w:eastAsia="Calibri" w:hAnsi="Calibri" w:cs="Calibri"/>
          <w:color w:val="B99A5B"/>
          <w:spacing w:val="20"/>
          <w:sz w:val="26"/>
          <w:szCs w:val="26"/>
        </w:rPr>
        <w:t>COMMUNITY ENGAGEMENT GUIDEBOOK</w:t>
      </w:r>
    </w:p>
    <w:p w:rsidR="002B5D47" w:rsidRDefault="00A332B9">
      <w:pPr>
        <w:spacing w:after="400"/>
        <w:jc w:val="center"/>
      </w:pPr>
      <w:r>
        <w:rPr>
          <w:rFonts w:ascii="Calibri" w:eastAsia="Calibri" w:hAnsi="Calibri" w:cs="Calibri"/>
          <w:b/>
          <w:bCs/>
          <w:color w:val="1B2A41"/>
          <w:sz w:val="32"/>
          <w:szCs w:val="32"/>
        </w:rPr>
        <w:t>Volume VII</w:t>
      </w:r>
    </w:p>
    <w:p w:rsidR="002B5D47" w:rsidRDefault="002B5D47">
      <w:pPr>
        <w:pBdr>
          <w:top w:val="single" w:sz="6" w:space="4" w:color="B99A5B"/>
        </w:pBdr>
        <w:spacing w:after="300"/>
        <w:jc w:val="center"/>
      </w:pPr>
    </w:p>
    <w:p w:rsidR="002B5D47" w:rsidRDefault="00A332B9">
      <w:pPr>
        <w:spacing w:after="300"/>
        <w:jc w:val="center"/>
      </w:pPr>
      <w:r>
        <w:rPr>
          <w:rFonts w:ascii="Calibri" w:eastAsia="Calibri" w:hAnsi="Calibri" w:cs="Calibri"/>
          <w:b/>
          <w:bCs/>
          <w:color w:val="1B2A41"/>
          <w:sz w:val="30"/>
          <w:szCs w:val="30"/>
        </w:rPr>
        <w:t>THE VEGA COMMUNITY ENGAGEMENT PLAN</w:t>
      </w:r>
    </w:p>
    <w:p w:rsidR="002B5D47" w:rsidRDefault="002B5D47">
      <w:pPr>
        <w:pBdr>
          <w:bottom w:val="single" w:sz="6" w:space="4" w:color="B99A5B"/>
        </w:pBdr>
        <w:spacing w:after="500"/>
        <w:jc w:val="center"/>
      </w:pPr>
    </w:p>
    <w:p w:rsidR="002B5D47" w:rsidRDefault="00A332B9">
      <w:pPr>
        <w:spacing w:after="700"/>
        <w:jc w:val="center"/>
      </w:pPr>
      <w:r>
        <w:rPr>
          <w:i/>
          <w:iCs/>
          <w:color w:val="333333"/>
        </w:rPr>
        <w:t>The Initiatives, Activities, and Events That Grow the Horquva Community</w:t>
      </w:r>
    </w:p>
    <w:p w:rsidR="002B5D47" w:rsidRDefault="00A332B9">
      <w:pPr>
        <w:spacing w:after="40"/>
        <w:jc w:val="center"/>
      </w:pPr>
      <w:r>
        <w:rPr>
          <w:color w:val="6E6E6E"/>
          <w:sz w:val="22"/>
          <w:szCs w:val="22"/>
        </w:rPr>
        <w:t>Issued by</w:t>
      </w:r>
    </w:p>
    <w:p w:rsidR="002B5D47" w:rsidRDefault="00A332B9">
      <w:pPr>
        <w:spacing w:after="700"/>
        <w:jc w:val="center"/>
      </w:pPr>
      <w:r>
        <w:rPr>
          <w:b/>
          <w:bCs/>
          <w:color w:val="1B2A41"/>
          <w:sz w:val="26"/>
          <w:szCs w:val="26"/>
        </w:rPr>
        <w:t>Horquva Communications Department</w:t>
      </w:r>
    </w:p>
    <w:p w:rsidR="002B5D47" w:rsidRDefault="00A332B9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B2A41"/>
          <w:sz w:val="20"/>
          <w:szCs w:val="20"/>
        </w:rPr>
        <w:t>CONFIDENTIAL &amp; PROPRIETARY</w:t>
      </w:r>
    </w:p>
    <w:p w:rsidR="002B5D47" w:rsidRDefault="00A332B9">
      <w:pPr>
        <w:spacing w:after="40"/>
        <w:jc w:val="center"/>
      </w:pPr>
      <w:r>
        <w:rPr>
          <w:i/>
          <w:iCs/>
          <w:color w:val="6E6E6E"/>
          <w:sz w:val="20"/>
          <w:szCs w:val="20"/>
        </w:rPr>
        <w:t>Internal Communications Documentation</w:t>
      </w:r>
    </w:p>
    <w:p w:rsidR="002B5D47" w:rsidRDefault="00A332B9">
      <w:pPr>
        <w:spacing w:after="700"/>
        <w:jc w:val="center"/>
      </w:pPr>
      <w:r>
        <w:rPr>
          <w:color w:val="6E6E6E"/>
          <w:sz w:val="20"/>
          <w:szCs w:val="20"/>
        </w:rPr>
        <w:t>Version 1.0</w:t>
      </w:r>
    </w:p>
    <w:p w:rsidR="002B5D47" w:rsidRDefault="00A332B9">
      <w:pPr>
        <w:jc w:val="center"/>
      </w:pPr>
      <w:r>
        <w:rPr>
          <w:color w:val="6E6E6E"/>
          <w:sz w:val="18"/>
          <w:szCs w:val="18"/>
        </w:rPr>
        <w:t>© Horquva Technologies. All Rights Reserved.</w:t>
      </w:r>
    </w:p>
    <w:p w:rsidR="002B5D47" w:rsidRDefault="00A332B9">
      <w:r>
        <w:br w:type="page"/>
      </w:r>
    </w:p>
    <w:p w:rsidR="002B5D47" w:rsidRDefault="002B5D47">
      <w:pPr>
        <w:sectPr w:rsidR="002B5D47">
          <w:headerReference w:type="default" r:id="rId7"/>
          <w:footerReference w:type="default" r:id="rId8"/>
          <w:headerReference w:type="first" r:id="rId9"/>
          <w:footerReference w:type="first" r:id="rId10"/>
          <w:pgSz w:w="12240" w:h="15840"/>
          <w:pgMar w:top="1440" w:right="1440" w:bottom="1440" w:left="1440" w:header="708" w:footer="708" w:gutter="0"/>
          <w:cols w:space="720"/>
          <w:titlePg/>
          <w:docGrid w:linePitch="360"/>
        </w:sectPr>
      </w:pPr>
    </w:p>
    <w:p w:rsidR="002B5D47" w:rsidRDefault="00A332B9">
      <w:pPr>
        <w:pStyle w:val="Heading1"/>
        <w:pBdr>
          <w:bottom w:val="single" w:sz="6" w:space="4" w:color="B99A5B"/>
        </w:pBdr>
        <w:spacing w:after="240"/>
      </w:pPr>
      <w:r>
        <w:rPr>
          <w:rFonts w:ascii="Calibri" w:eastAsia="Calibri" w:hAnsi="Calibri" w:cs="Calibri"/>
          <w:b/>
          <w:bCs/>
          <w:color w:val="1B2A41"/>
        </w:rPr>
        <w:lastRenderedPageBreak/>
        <w:t>A Message from the Communications Department</w:t>
      </w:r>
    </w:p>
    <w:p w:rsidR="002B5D47" w:rsidRDefault="00A332B9">
      <w:pPr>
        <w:spacing w:after="160" w:line="276" w:lineRule="auto"/>
      </w:pPr>
      <w:r>
        <w:t>Dear Community,</w:t>
      </w:r>
    </w:p>
    <w:p w:rsidR="002B5D47" w:rsidRDefault="00A332B9">
      <w:pPr>
        <w:spacing w:after="160" w:line="276" w:lineRule="auto"/>
      </w:pPr>
      <w:r>
        <w:t>A community grows through the moments people choose to show up — a discussion they join, an event they attend, a project they contribute to. None of that happens by accident. It happens because s</w:t>
      </w:r>
      <w:r>
        <w:t>omeone designed an opportunity worth showing up for.</w:t>
      </w:r>
    </w:p>
    <w:p w:rsidR="002B5D47" w:rsidRDefault="00A332B9">
      <w:pPr>
        <w:spacing w:after="160" w:line="276" w:lineRule="auto"/>
      </w:pPr>
      <w:r>
        <w:t>This plan lays out how Horquva builds those opportunities across the VEGA ecosystem: the initiatives we run, the activities we design, the events we schedule, and the strategy tying it all together. It e</w:t>
      </w:r>
      <w:r>
        <w:t>xists so that community engagement stays intentional and consistent, not something we improvise one campaign at a time.</w:t>
      </w:r>
    </w:p>
    <w:p w:rsidR="002B5D47" w:rsidRDefault="00A332B9">
      <w:pPr>
        <w:spacing w:after="160" w:line="276" w:lineRule="auto"/>
      </w:pPr>
      <w:r>
        <w:t>Sincerely,</w:t>
      </w:r>
    </w:p>
    <w:p w:rsidR="002B5D47" w:rsidRDefault="00A332B9">
      <w:pPr>
        <w:spacing w:after="160"/>
      </w:pPr>
      <w:r>
        <w:rPr>
          <w:b/>
          <w:bCs/>
          <w:color w:val="1B2A41"/>
        </w:rPr>
        <w:t>Horquva Communications Department</w:t>
      </w:r>
    </w:p>
    <w:p w:rsidR="002B5D47" w:rsidRDefault="00A332B9">
      <w:r>
        <w:br w:type="page"/>
      </w:r>
    </w:p>
    <w:p w:rsidR="002B5D47" w:rsidRDefault="00A332B9">
      <w:pPr>
        <w:pStyle w:val="Heading1"/>
        <w:pBdr>
          <w:bottom w:val="single" w:sz="6" w:space="4" w:color="B99A5B"/>
        </w:pBdr>
        <w:spacing w:after="240"/>
      </w:pPr>
      <w:r>
        <w:rPr>
          <w:rFonts w:ascii="Calibri" w:eastAsia="Calibri" w:hAnsi="Calibri" w:cs="Calibri"/>
          <w:b/>
          <w:bCs/>
          <w:color w:val="1B2A41"/>
        </w:rPr>
        <w:lastRenderedPageBreak/>
        <w:t>Table of Contents</w:t>
      </w:r>
    </w:p>
    <w:p w:rsidR="002B5D47" w:rsidRDefault="00A332B9">
      <w:pPr>
        <w:tabs>
          <w:tab w:val="right" w:leader="dot" w:pos="9026"/>
        </w:tabs>
        <w:spacing w:after="160"/>
      </w:pPr>
      <w:r>
        <w:rPr>
          <w:color w:val="1B2A41"/>
        </w:rPr>
        <w:t>A Message from the Communications Department</w:t>
      </w:r>
      <w:r>
        <w:rPr>
          <w:color w:val="1B2A41"/>
        </w:rPr>
        <w:tab/>
        <w:t>2</w:t>
      </w:r>
    </w:p>
    <w:p w:rsidR="002B5D47" w:rsidRDefault="00A332B9">
      <w:pPr>
        <w:tabs>
          <w:tab w:val="right" w:leader="dot" w:pos="9026"/>
        </w:tabs>
        <w:spacing w:after="160"/>
      </w:pPr>
      <w:r>
        <w:rPr>
          <w:color w:val="1B2A41"/>
        </w:rPr>
        <w:t>Purpose</w:t>
      </w:r>
      <w:r>
        <w:rPr>
          <w:color w:val="1B2A41"/>
        </w:rPr>
        <w:tab/>
        <w:t>4</w:t>
      </w:r>
    </w:p>
    <w:p w:rsidR="002B5D47" w:rsidRDefault="00A332B9">
      <w:pPr>
        <w:tabs>
          <w:tab w:val="right" w:leader="dot" w:pos="9026"/>
        </w:tabs>
        <w:spacing w:after="160"/>
      </w:pPr>
      <w:r>
        <w:rPr>
          <w:color w:val="1B2A41"/>
        </w:rPr>
        <w:t>Why It Matters</w:t>
      </w:r>
      <w:r>
        <w:rPr>
          <w:color w:val="1B2A41"/>
        </w:rPr>
        <w:tab/>
        <w:t>4</w:t>
      </w:r>
    </w:p>
    <w:p w:rsidR="002B5D47" w:rsidRDefault="00A332B9">
      <w:pPr>
        <w:tabs>
          <w:tab w:val="right" w:leader="dot" w:pos="9026"/>
        </w:tabs>
        <w:spacing w:after="160"/>
      </w:pPr>
      <w:r>
        <w:rPr>
          <w:color w:val="1B2A41"/>
        </w:rPr>
        <w:t>Section 1: Engagement Initiatives</w:t>
      </w:r>
      <w:r>
        <w:rPr>
          <w:color w:val="1B2A41"/>
        </w:rPr>
        <w:tab/>
        <w:t>4</w:t>
      </w:r>
    </w:p>
    <w:p w:rsidR="002B5D47" w:rsidRDefault="00A332B9">
      <w:pPr>
        <w:tabs>
          <w:tab w:val="right" w:leader="dot" w:pos="9026"/>
        </w:tabs>
        <w:spacing w:after="160"/>
      </w:pPr>
      <w:r>
        <w:rPr>
          <w:color w:val="1B2A41"/>
        </w:rPr>
        <w:t>Section 2: Participation Activities</w:t>
      </w:r>
      <w:r>
        <w:rPr>
          <w:color w:val="1B2A41"/>
        </w:rPr>
        <w:tab/>
        <w:t>4</w:t>
      </w:r>
    </w:p>
    <w:p w:rsidR="002B5D47" w:rsidRDefault="00A332B9">
      <w:pPr>
        <w:tabs>
          <w:tab w:val="right" w:leader="dot" w:pos="9026"/>
        </w:tabs>
        <w:spacing w:after="160"/>
      </w:pPr>
      <w:r>
        <w:rPr>
          <w:color w:val="1B2A41"/>
        </w:rPr>
        <w:t>Section 3: Community Events</w:t>
      </w:r>
      <w:r>
        <w:rPr>
          <w:color w:val="1B2A41"/>
        </w:rPr>
        <w:tab/>
        <w:t>5</w:t>
      </w:r>
    </w:p>
    <w:p w:rsidR="002B5D47" w:rsidRDefault="00A332B9">
      <w:pPr>
        <w:tabs>
          <w:tab w:val="right" w:leader="dot" w:pos="9026"/>
        </w:tabs>
        <w:spacing w:after="160"/>
      </w:pPr>
      <w:r>
        <w:rPr>
          <w:color w:val="1B2A41"/>
        </w:rPr>
        <w:t>Section 4: Engagement Strategy &amp; Governance</w:t>
      </w:r>
      <w:r>
        <w:rPr>
          <w:color w:val="1B2A41"/>
        </w:rPr>
        <w:tab/>
        <w:t>6</w:t>
      </w:r>
    </w:p>
    <w:p w:rsidR="002B5D47" w:rsidRDefault="00A332B9">
      <w:pPr>
        <w:tabs>
          <w:tab w:val="right" w:leader="dot" w:pos="9026"/>
        </w:tabs>
        <w:spacing w:after="160"/>
      </w:pPr>
      <w:r>
        <w:rPr>
          <w:color w:val="1B2A41"/>
        </w:rPr>
        <w:t>Document Control</w:t>
      </w:r>
      <w:r>
        <w:rPr>
          <w:color w:val="1B2A41"/>
        </w:rPr>
        <w:tab/>
        <w:t>7</w:t>
      </w:r>
    </w:p>
    <w:p w:rsidR="002B5D47" w:rsidRDefault="00A332B9">
      <w:r>
        <w:br w:type="page"/>
      </w:r>
    </w:p>
    <w:p w:rsidR="002B5D47" w:rsidRDefault="00A332B9">
      <w:pPr>
        <w:pStyle w:val="Heading1"/>
        <w:pBdr>
          <w:bottom w:val="single" w:sz="6" w:space="4" w:color="B99A5B"/>
        </w:pBdr>
        <w:spacing w:before="360" w:after="200"/>
      </w:pPr>
      <w:r>
        <w:rPr>
          <w:rFonts w:ascii="Calibri" w:eastAsia="Calibri" w:hAnsi="Calibri" w:cs="Calibri"/>
          <w:b/>
          <w:bCs/>
          <w:color w:val="1B2A41"/>
        </w:rPr>
        <w:lastRenderedPageBreak/>
        <w:t>Purpose</w:t>
      </w:r>
    </w:p>
    <w:p w:rsidR="002B5D47" w:rsidRDefault="00A332B9">
      <w:pPr>
        <w:spacing w:after="160" w:line="276" w:lineRule="auto"/>
      </w:pPr>
      <w:r>
        <w:t>This document designs activities that encourage participation, collaboration, learning, and community growth across the VEGA ecosystem.</w:t>
      </w:r>
    </w:p>
    <w:p w:rsidR="002B5D47" w:rsidRDefault="00A332B9">
      <w:pPr>
        <w:pStyle w:val="Heading1"/>
        <w:pBdr>
          <w:bottom w:val="single" w:sz="6" w:space="4" w:color="B99A5B"/>
        </w:pBdr>
        <w:spacing w:before="360" w:after="200"/>
      </w:pPr>
      <w:r>
        <w:rPr>
          <w:rFonts w:ascii="Calibri" w:eastAsia="Calibri" w:hAnsi="Calibri" w:cs="Calibri"/>
          <w:b/>
          <w:bCs/>
          <w:color w:val="1B2A41"/>
        </w:rPr>
        <w:t>Why It Matters</w:t>
      </w:r>
    </w:p>
    <w:p w:rsidR="002B5D47" w:rsidRDefault="00A332B9">
      <w:pPr>
        <w:spacing w:after="160" w:line="276" w:lineRule="auto"/>
      </w:pPr>
      <w:r>
        <w:t>Strong communities increase engagement, knowledge sharing, and long-term ecosystem sustainability. Withou</w:t>
      </w:r>
      <w:r>
        <w:t>t a deliberate plan, community energy fades between isolated events, and participation stays shallow. This plan exists to keep engagement consistent, purposeful, and growing over time.</w:t>
      </w:r>
    </w:p>
    <w:p w:rsidR="002B5D47" w:rsidRDefault="00A332B9">
      <w:pPr>
        <w:pStyle w:val="Heading1"/>
        <w:pBdr>
          <w:bottom w:val="single" w:sz="6" w:space="4" w:color="B99A5B"/>
        </w:pBdr>
        <w:spacing w:before="360" w:after="200"/>
      </w:pPr>
      <w:r>
        <w:rPr>
          <w:rFonts w:ascii="Calibri" w:eastAsia="Calibri" w:hAnsi="Calibri" w:cs="Calibri"/>
          <w:b/>
          <w:bCs/>
          <w:color w:val="1B2A41"/>
        </w:rPr>
        <w:t>Section 1: Engagement Initiatives</w:t>
      </w:r>
    </w:p>
    <w:p w:rsidR="002B5D47" w:rsidRDefault="00A332B9">
      <w:pPr>
        <w:spacing w:after="160" w:line="276" w:lineRule="auto"/>
      </w:pPr>
      <w:r>
        <w:t>Ongoing programs designed to keep the</w:t>
      </w:r>
      <w:r>
        <w:t xml:space="preserve"> community active between individual events.</w:t>
      </w:r>
    </w:p>
    <w:p w:rsidR="002B5D47" w:rsidRDefault="00A332B9">
      <w:pPr>
        <w:pStyle w:val="Heading2"/>
        <w:spacing w:before="260" w:after="140"/>
      </w:pPr>
      <w:r>
        <w:rPr>
          <w:b/>
          <w:bCs/>
          <w:color w:val="1B2A41"/>
        </w:rPr>
        <w:t>1.1 Initiative Types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800"/>
        <w:gridCol w:w="2900"/>
        <w:gridCol w:w="2000"/>
      </w:tblGrid>
      <w:tr w:rsidR="002B5D4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1B2A41"/>
            <w:vAlign w:val="center"/>
          </w:tcPr>
          <w:p w:rsidR="002B5D47" w:rsidRDefault="00A332B9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Initiative</w:t>
            </w:r>
          </w:p>
        </w:tc>
        <w:tc>
          <w:tcPr>
            <w:tcW w:w="1800" w:type="dxa"/>
            <w:shd w:val="clear" w:color="auto" w:fill="1B2A41"/>
            <w:vAlign w:val="center"/>
          </w:tcPr>
          <w:p w:rsidR="002B5D47" w:rsidRDefault="00A332B9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Cadence</w:t>
            </w:r>
          </w:p>
        </w:tc>
        <w:tc>
          <w:tcPr>
            <w:tcW w:w="2900" w:type="dxa"/>
            <w:shd w:val="clear" w:color="auto" w:fill="1B2A41"/>
            <w:vAlign w:val="center"/>
          </w:tcPr>
          <w:p w:rsidR="002B5D47" w:rsidRDefault="00A332B9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Goal</w:t>
            </w:r>
          </w:p>
        </w:tc>
        <w:tc>
          <w:tcPr>
            <w:tcW w:w="2000" w:type="dxa"/>
            <w:shd w:val="clear" w:color="auto" w:fill="1B2A41"/>
            <w:vAlign w:val="center"/>
          </w:tcPr>
          <w:p w:rsidR="002B5D47" w:rsidRDefault="00A332B9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Owner</w:t>
            </w:r>
          </w:p>
        </w:tc>
      </w:tr>
      <w:tr w:rsidR="002B5D47">
        <w:tblPrEx>
          <w:tblCellMar>
            <w:top w:w="0" w:type="dxa"/>
            <w:bottom w:w="0" w:type="dxa"/>
          </w:tblCellMar>
        </w:tblPrEx>
        <w:tc>
          <w:tcPr>
            <w:tcW w:w="2300" w:type="dxa"/>
          </w:tcPr>
          <w:p w:rsidR="002B5D47" w:rsidRDefault="00A332B9">
            <w:r>
              <w:rPr>
                <w:sz w:val="20"/>
                <w:szCs w:val="20"/>
              </w:rPr>
              <w:t>Contributor spotlight</w:t>
            </w:r>
          </w:p>
        </w:tc>
        <w:tc>
          <w:tcPr>
            <w:tcW w:w="1800" w:type="dxa"/>
          </w:tcPr>
          <w:p w:rsidR="002B5D47" w:rsidRDefault="00A332B9">
            <w:r>
              <w:rPr>
                <w:sz w:val="20"/>
                <w:szCs w:val="20"/>
              </w:rPr>
              <w:t>Monthly</w:t>
            </w:r>
          </w:p>
        </w:tc>
        <w:tc>
          <w:tcPr>
            <w:tcW w:w="2900" w:type="dxa"/>
          </w:tcPr>
          <w:p w:rsidR="002B5D47" w:rsidRDefault="00A332B9">
            <w:r>
              <w:rPr>
                <w:sz w:val="20"/>
                <w:szCs w:val="20"/>
              </w:rPr>
              <w:t>Recognize active community members</w:t>
            </w:r>
          </w:p>
        </w:tc>
        <w:tc>
          <w:tcPr>
            <w:tcW w:w="2000" w:type="dxa"/>
          </w:tcPr>
          <w:p w:rsidR="002B5D47" w:rsidRDefault="00A332B9">
            <w:r>
              <w:rPr>
                <w:sz w:val="20"/>
                <w:szCs w:val="20"/>
              </w:rPr>
              <w:t>Communications Department</w:t>
            </w:r>
          </w:p>
        </w:tc>
      </w:tr>
      <w:tr w:rsidR="002B5D4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7F1E6"/>
          </w:tcPr>
          <w:p w:rsidR="002B5D47" w:rsidRDefault="00A332B9">
            <w:r>
              <w:rPr>
                <w:sz w:val="20"/>
                <w:szCs w:val="20"/>
              </w:rPr>
              <w:t>Knowledge-sharing threads</w:t>
            </w:r>
          </w:p>
        </w:tc>
        <w:tc>
          <w:tcPr>
            <w:tcW w:w="1800" w:type="dxa"/>
            <w:shd w:val="clear" w:color="auto" w:fill="F7F1E6"/>
          </w:tcPr>
          <w:p w:rsidR="002B5D47" w:rsidRDefault="00A332B9">
            <w:r>
              <w:rPr>
                <w:sz w:val="20"/>
                <w:szCs w:val="20"/>
              </w:rPr>
              <w:t>Biweekly</w:t>
            </w:r>
          </w:p>
        </w:tc>
        <w:tc>
          <w:tcPr>
            <w:tcW w:w="2900" w:type="dxa"/>
            <w:shd w:val="clear" w:color="auto" w:fill="F7F1E6"/>
          </w:tcPr>
          <w:p w:rsidR="002B5D47" w:rsidRDefault="00A332B9">
            <w:r>
              <w:rPr>
                <w:sz w:val="20"/>
                <w:szCs w:val="20"/>
              </w:rPr>
              <w:t>Encourage peer-to-peer learning</w:t>
            </w:r>
          </w:p>
        </w:tc>
        <w:tc>
          <w:tcPr>
            <w:tcW w:w="2000" w:type="dxa"/>
            <w:shd w:val="clear" w:color="auto" w:fill="F7F1E6"/>
          </w:tcPr>
          <w:p w:rsidR="002B5D47" w:rsidRDefault="00A332B9">
            <w:r>
              <w:rPr>
                <w:sz w:val="20"/>
                <w:szCs w:val="20"/>
              </w:rPr>
              <w:t>Community Moderators</w:t>
            </w:r>
          </w:p>
        </w:tc>
      </w:tr>
      <w:tr w:rsidR="002B5D47">
        <w:tblPrEx>
          <w:tblCellMar>
            <w:top w:w="0" w:type="dxa"/>
            <w:bottom w:w="0" w:type="dxa"/>
          </w:tblCellMar>
        </w:tblPrEx>
        <w:tc>
          <w:tcPr>
            <w:tcW w:w="2300" w:type="dxa"/>
          </w:tcPr>
          <w:p w:rsidR="002B5D47" w:rsidRDefault="00A332B9">
            <w:r>
              <w:rPr>
                <w:sz w:val="20"/>
                <w:szCs w:val="20"/>
              </w:rPr>
              <w:t>Feedback &amp; suggestion cycle</w:t>
            </w:r>
          </w:p>
        </w:tc>
        <w:tc>
          <w:tcPr>
            <w:tcW w:w="1800" w:type="dxa"/>
          </w:tcPr>
          <w:p w:rsidR="002B5D47" w:rsidRDefault="00A332B9">
            <w:r>
              <w:rPr>
                <w:sz w:val="20"/>
                <w:szCs w:val="20"/>
              </w:rPr>
              <w:t>Quarterly</w:t>
            </w:r>
          </w:p>
        </w:tc>
        <w:tc>
          <w:tcPr>
            <w:tcW w:w="2900" w:type="dxa"/>
          </w:tcPr>
          <w:p w:rsidR="002B5D47" w:rsidRDefault="00A332B9">
            <w:r>
              <w:rPr>
                <w:sz w:val="20"/>
                <w:szCs w:val="20"/>
              </w:rPr>
              <w:t>Give members a voice in VEGA's direction</w:t>
            </w:r>
          </w:p>
        </w:tc>
        <w:tc>
          <w:tcPr>
            <w:tcW w:w="2000" w:type="dxa"/>
          </w:tcPr>
          <w:p w:rsidR="002B5D47" w:rsidRDefault="00A332B9">
            <w:r>
              <w:rPr>
                <w:sz w:val="20"/>
                <w:szCs w:val="20"/>
              </w:rPr>
              <w:t>Communications Department</w:t>
            </w:r>
          </w:p>
        </w:tc>
      </w:tr>
      <w:tr w:rsidR="002B5D4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7F1E6"/>
          </w:tcPr>
          <w:p w:rsidR="002B5D47" w:rsidRDefault="00A332B9">
            <w:r>
              <w:rPr>
                <w:sz w:val="20"/>
                <w:szCs w:val="20"/>
              </w:rPr>
              <w:t>Mentorship pairing program</w:t>
            </w:r>
          </w:p>
        </w:tc>
        <w:tc>
          <w:tcPr>
            <w:tcW w:w="1800" w:type="dxa"/>
            <w:shd w:val="clear" w:color="auto" w:fill="F7F1E6"/>
          </w:tcPr>
          <w:p w:rsidR="002B5D47" w:rsidRDefault="00A332B9">
            <w:r>
              <w:rPr>
                <w:sz w:val="20"/>
                <w:szCs w:val="20"/>
              </w:rPr>
              <w:t>Ongoing</w:t>
            </w:r>
          </w:p>
        </w:tc>
        <w:tc>
          <w:tcPr>
            <w:tcW w:w="2900" w:type="dxa"/>
            <w:shd w:val="clear" w:color="auto" w:fill="F7F1E6"/>
          </w:tcPr>
          <w:p w:rsidR="002B5D47" w:rsidRDefault="00A332B9">
            <w:r>
              <w:rPr>
                <w:sz w:val="20"/>
                <w:szCs w:val="20"/>
              </w:rPr>
              <w:t>Connect newer members with experienced contributors</w:t>
            </w:r>
          </w:p>
        </w:tc>
        <w:tc>
          <w:tcPr>
            <w:tcW w:w="2000" w:type="dxa"/>
            <w:shd w:val="clear" w:color="auto" w:fill="F7F1E6"/>
          </w:tcPr>
          <w:p w:rsidR="002B5D47" w:rsidRDefault="00A332B9">
            <w:r>
              <w:rPr>
                <w:sz w:val="20"/>
                <w:szCs w:val="20"/>
              </w:rPr>
              <w:t>Community Moderators</w:t>
            </w:r>
          </w:p>
        </w:tc>
      </w:tr>
      <w:tr w:rsidR="002B5D47">
        <w:tblPrEx>
          <w:tblCellMar>
            <w:top w:w="0" w:type="dxa"/>
            <w:bottom w:w="0" w:type="dxa"/>
          </w:tblCellMar>
        </w:tblPrEx>
        <w:tc>
          <w:tcPr>
            <w:tcW w:w="2300" w:type="dxa"/>
          </w:tcPr>
          <w:p w:rsidR="002B5D47" w:rsidRDefault="00A332B9">
            <w:r>
              <w:rPr>
                <w:sz w:val="20"/>
                <w:szCs w:val="20"/>
              </w:rPr>
              <w:t>Open Q&amp;A sessions</w:t>
            </w:r>
          </w:p>
        </w:tc>
        <w:tc>
          <w:tcPr>
            <w:tcW w:w="1800" w:type="dxa"/>
          </w:tcPr>
          <w:p w:rsidR="002B5D47" w:rsidRDefault="00A332B9">
            <w:r>
              <w:rPr>
                <w:sz w:val="20"/>
                <w:szCs w:val="20"/>
              </w:rPr>
              <w:t>Monthly</w:t>
            </w:r>
          </w:p>
        </w:tc>
        <w:tc>
          <w:tcPr>
            <w:tcW w:w="2900" w:type="dxa"/>
          </w:tcPr>
          <w:p w:rsidR="002B5D47" w:rsidRDefault="00A332B9">
            <w:r>
              <w:rPr>
                <w:sz w:val="20"/>
                <w:szCs w:val="20"/>
              </w:rPr>
              <w:t>Direct access to the Horquva team</w:t>
            </w:r>
          </w:p>
        </w:tc>
        <w:tc>
          <w:tcPr>
            <w:tcW w:w="2000" w:type="dxa"/>
          </w:tcPr>
          <w:p w:rsidR="002B5D47" w:rsidRDefault="00A332B9">
            <w:r>
              <w:rPr>
                <w:sz w:val="20"/>
                <w:szCs w:val="20"/>
              </w:rPr>
              <w:t>Communications Department</w:t>
            </w:r>
          </w:p>
        </w:tc>
      </w:tr>
    </w:tbl>
    <w:p w:rsidR="002B5D47" w:rsidRDefault="002B5D47">
      <w:pPr>
        <w:spacing w:after="200"/>
      </w:pPr>
    </w:p>
    <w:p w:rsidR="002B5D47" w:rsidRDefault="00A332B9">
      <w:pPr>
        <w:pStyle w:val="Heading2"/>
        <w:spacing w:before="260" w:after="140"/>
      </w:pPr>
      <w:r>
        <w:rPr>
          <w:b/>
          <w:bCs/>
          <w:color w:val="1B2A41"/>
        </w:rPr>
        <w:t>1.2 Planning Guidelines</w:t>
      </w:r>
    </w:p>
    <w:p w:rsidR="002B5D47" w:rsidRDefault="00A332B9">
      <w:pPr>
        <w:pStyle w:val="ListParagraph"/>
        <w:numPr>
          <w:ilvl w:val="0"/>
          <w:numId w:val="2"/>
        </w:numPr>
        <w:spacing w:after="100"/>
      </w:pPr>
      <w:r>
        <w:t>Each initiative must have a named owner responsible for keeping it running on schedule.</w:t>
      </w:r>
    </w:p>
    <w:p w:rsidR="002B5D47" w:rsidRDefault="00A332B9">
      <w:pPr>
        <w:pStyle w:val="ListParagraph"/>
        <w:numPr>
          <w:ilvl w:val="0"/>
          <w:numId w:val="2"/>
        </w:numPr>
        <w:spacing w:after="100"/>
      </w:pPr>
      <w:r>
        <w:t>New initiatives should be piloted for one cycle before being adopted permanently.</w:t>
      </w:r>
    </w:p>
    <w:p w:rsidR="002B5D47" w:rsidRDefault="00A332B9">
      <w:pPr>
        <w:pStyle w:val="Heading1"/>
        <w:pBdr>
          <w:bottom w:val="single" w:sz="6" w:space="4" w:color="B99A5B"/>
        </w:pBdr>
        <w:spacing w:before="360" w:after="200"/>
      </w:pPr>
      <w:r>
        <w:rPr>
          <w:rFonts w:ascii="Calibri" w:eastAsia="Calibri" w:hAnsi="Calibri" w:cs="Calibri"/>
          <w:b/>
          <w:bCs/>
          <w:color w:val="1B2A41"/>
        </w:rPr>
        <w:t>Section 2: Participation Activities</w:t>
      </w:r>
    </w:p>
    <w:p w:rsidR="002B5D47" w:rsidRDefault="00A332B9">
      <w:pPr>
        <w:spacing w:after="160" w:line="276" w:lineRule="auto"/>
      </w:pPr>
      <w:r>
        <w:t>Lighter-weight activities designed to lower the barrier to participation for all community members.</w:t>
      </w:r>
    </w:p>
    <w:p w:rsidR="002B5D47" w:rsidRDefault="00A332B9">
      <w:pPr>
        <w:pStyle w:val="Heading2"/>
        <w:spacing w:before="260" w:after="140"/>
      </w:pPr>
      <w:r>
        <w:rPr>
          <w:b/>
          <w:bCs/>
          <w:color w:val="1B2A41"/>
        </w:rPr>
        <w:t>2.1 Activity Formats</w:t>
      </w:r>
    </w:p>
    <w:p w:rsidR="002B5D47" w:rsidRDefault="00A332B9">
      <w:pPr>
        <w:pStyle w:val="ListParagraph"/>
        <w:numPr>
          <w:ilvl w:val="0"/>
          <w:numId w:val="2"/>
        </w:numPr>
        <w:spacing w:after="100"/>
      </w:pPr>
      <w:r>
        <w:t>Discussion prompt</w:t>
      </w:r>
      <w:r>
        <w:t>s — recurring questions posted to spark conversation.</w:t>
      </w:r>
    </w:p>
    <w:p w:rsidR="002B5D47" w:rsidRDefault="00A332B9">
      <w:pPr>
        <w:pStyle w:val="ListParagraph"/>
        <w:numPr>
          <w:ilvl w:val="0"/>
          <w:numId w:val="2"/>
        </w:numPr>
        <w:spacing w:after="100"/>
      </w:pPr>
      <w:r>
        <w:t>Challenges and prompts — small, time-boxed creative or technical exercises.</w:t>
      </w:r>
    </w:p>
    <w:p w:rsidR="002B5D47" w:rsidRDefault="00A332B9">
      <w:pPr>
        <w:pStyle w:val="ListParagraph"/>
        <w:numPr>
          <w:ilvl w:val="0"/>
          <w:numId w:val="2"/>
        </w:numPr>
        <w:spacing w:after="100"/>
      </w:pPr>
      <w:r>
        <w:lastRenderedPageBreak/>
        <w:t>Polls and quick feedback — low-effort ways for members to weigh in on decisions.</w:t>
      </w:r>
    </w:p>
    <w:p w:rsidR="002B5D47" w:rsidRDefault="00A332B9">
      <w:pPr>
        <w:pStyle w:val="ListParagraph"/>
        <w:numPr>
          <w:ilvl w:val="0"/>
          <w:numId w:val="2"/>
        </w:numPr>
        <w:spacing w:after="100"/>
      </w:pPr>
      <w:r>
        <w:t>Showcase threads — a space for members to share what they've built or learned.</w:t>
      </w:r>
    </w:p>
    <w:p w:rsidR="002B5D47" w:rsidRDefault="00A332B9">
      <w:pPr>
        <w:pStyle w:val="Heading2"/>
        <w:spacing w:before="260" w:after="140"/>
      </w:pPr>
      <w:r>
        <w:rPr>
          <w:b/>
          <w:bCs/>
          <w:color w:val="1B2A41"/>
        </w:rPr>
        <w:t>2.2 Designing for Inclusion</w:t>
      </w:r>
    </w:p>
    <w:p w:rsidR="002B5D47" w:rsidRDefault="00A332B9">
      <w:pPr>
        <w:pStyle w:val="ListParagraph"/>
        <w:numPr>
          <w:ilvl w:val="0"/>
          <w:numId w:val="2"/>
        </w:numPr>
        <w:spacing w:after="100"/>
      </w:pPr>
      <w:r>
        <w:t>Activities should not require deep prior involvement to participate — a first-time visitor should be able to join in.</w:t>
      </w:r>
    </w:p>
    <w:p w:rsidR="002B5D47" w:rsidRDefault="00A332B9">
      <w:pPr>
        <w:pStyle w:val="ListParagraph"/>
        <w:numPr>
          <w:ilvl w:val="0"/>
          <w:numId w:val="2"/>
        </w:numPr>
        <w:spacing w:after="100"/>
      </w:pPr>
      <w:r>
        <w:t>Offer multiple ways to participate (commenting, voting, submitting) so engagement isn't limited to one format.</w:t>
      </w:r>
    </w:p>
    <w:p w:rsidR="002B5D47" w:rsidRDefault="00A332B9">
      <w:pPr>
        <w:pStyle w:val="Heading2"/>
        <w:spacing w:before="260" w:after="140"/>
      </w:pPr>
      <w:r>
        <w:rPr>
          <w:b/>
          <w:bCs/>
          <w:color w:val="1B2A41"/>
        </w:rPr>
        <w:t>2.3 Measuring Participation</w:t>
      </w:r>
    </w:p>
    <w:p w:rsidR="002B5D47" w:rsidRDefault="00A332B9">
      <w:pPr>
        <w:spacing w:after="160" w:line="276" w:lineRule="auto"/>
      </w:pPr>
      <w:r>
        <w:t>Track participation using simple, consistent metrics: number of contributors (not just comments), repeat participatio</w:t>
      </w:r>
      <w:r>
        <w:t>n rate, and qualitative feedback from members.</w:t>
      </w:r>
    </w:p>
    <w:p w:rsidR="002B5D47" w:rsidRDefault="00A332B9">
      <w:pPr>
        <w:pStyle w:val="Heading1"/>
        <w:pBdr>
          <w:bottom w:val="single" w:sz="6" w:space="4" w:color="B99A5B"/>
        </w:pBdr>
        <w:spacing w:before="360" w:after="200"/>
      </w:pPr>
      <w:r>
        <w:rPr>
          <w:rFonts w:ascii="Calibri" w:eastAsia="Calibri" w:hAnsi="Calibri" w:cs="Calibri"/>
          <w:b/>
          <w:bCs/>
          <w:color w:val="1B2A41"/>
        </w:rPr>
        <w:t>Section 3: Community Events</w:t>
      </w:r>
    </w:p>
    <w:p w:rsidR="002B5D47" w:rsidRDefault="00A332B9">
      <w:pPr>
        <w:pStyle w:val="Heading2"/>
        <w:spacing w:before="260" w:after="140"/>
      </w:pPr>
      <w:r>
        <w:rPr>
          <w:b/>
          <w:bCs/>
          <w:color w:val="1B2A41"/>
        </w:rPr>
        <w:t>3.1 Event Types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800"/>
        <w:gridCol w:w="2900"/>
        <w:gridCol w:w="2000"/>
      </w:tblGrid>
      <w:tr w:rsidR="002B5D4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1B2A41"/>
            <w:vAlign w:val="center"/>
          </w:tcPr>
          <w:p w:rsidR="002B5D47" w:rsidRDefault="00A332B9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Event</w:t>
            </w:r>
          </w:p>
        </w:tc>
        <w:tc>
          <w:tcPr>
            <w:tcW w:w="1800" w:type="dxa"/>
            <w:shd w:val="clear" w:color="auto" w:fill="1B2A41"/>
            <w:vAlign w:val="center"/>
          </w:tcPr>
          <w:p w:rsidR="002B5D47" w:rsidRDefault="00A332B9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Format</w:t>
            </w:r>
          </w:p>
        </w:tc>
        <w:tc>
          <w:tcPr>
            <w:tcW w:w="2900" w:type="dxa"/>
            <w:shd w:val="clear" w:color="auto" w:fill="1B2A41"/>
            <w:vAlign w:val="center"/>
          </w:tcPr>
          <w:p w:rsidR="002B5D47" w:rsidRDefault="00A332B9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Frequency</w:t>
            </w:r>
          </w:p>
        </w:tc>
        <w:tc>
          <w:tcPr>
            <w:tcW w:w="2000" w:type="dxa"/>
            <w:shd w:val="clear" w:color="auto" w:fill="1B2A41"/>
            <w:vAlign w:val="center"/>
          </w:tcPr>
          <w:p w:rsidR="002B5D47" w:rsidRDefault="00A332B9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Owner</w:t>
            </w:r>
          </w:p>
        </w:tc>
      </w:tr>
      <w:tr w:rsidR="002B5D47">
        <w:tblPrEx>
          <w:tblCellMar>
            <w:top w:w="0" w:type="dxa"/>
            <w:bottom w:w="0" w:type="dxa"/>
          </w:tblCellMar>
        </w:tblPrEx>
        <w:tc>
          <w:tcPr>
            <w:tcW w:w="2300" w:type="dxa"/>
          </w:tcPr>
          <w:p w:rsidR="002B5D47" w:rsidRDefault="00A332B9">
            <w:r>
              <w:rPr>
                <w:sz w:val="20"/>
                <w:szCs w:val="20"/>
              </w:rPr>
              <w:t>Community town hall</w:t>
            </w:r>
          </w:p>
        </w:tc>
        <w:tc>
          <w:tcPr>
            <w:tcW w:w="1800" w:type="dxa"/>
          </w:tcPr>
          <w:p w:rsidR="002B5D47" w:rsidRDefault="00A332B9">
            <w:r>
              <w:rPr>
                <w:sz w:val="20"/>
                <w:szCs w:val="20"/>
              </w:rPr>
              <w:t>Live / virtual</w:t>
            </w:r>
          </w:p>
        </w:tc>
        <w:tc>
          <w:tcPr>
            <w:tcW w:w="2900" w:type="dxa"/>
          </w:tcPr>
          <w:p w:rsidR="002B5D47" w:rsidRDefault="00A332B9">
            <w:r>
              <w:rPr>
                <w:sz w:val="20"/>
                <w:szCs w:val="20"/>
              </w:rPr>
              <w:t>Quarterly</w:t>
            </w:r>
          </w:p>
        </w:tc>
        <w:tc>
          <w:tcPr>
            <w:tcW w:w="2000" w:type="dxa"/>
          </w:tcPr>
          <w:p w:rsidR="002B5D47" w:rsidRDefault="00A332B9">
            <w:r>
              <w:rPr>
                <w:sz w:val="20"/>
                <w:szCs w:val="20"/>
              </w:rPr>
              <w:t>Communications Department</w:t>
            </w:r>
          </w:p>
        </w:tc>
      </w:tr>
      <w:tr w:rsidR="002B5D4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7F1E6"/>
          </w:tcPr>
          <w:p w:rsidR="002B5D47" w:rsidRDefault="00A332B9">
            <w:r>
              <w:rPr>
                <w:sz w:val="20"/>
                <w:szCs w:val="20"/>
              </w:rPr>
              <w:t>Workshops &amp; webinars</w:t>
            </w:r>
          </w:p>
        </w:tc>
        <w:tc>
          <w:tcPr>
            <w:tcW w:w="1800" w:type="dxa"/>
            <w:shd w:val="clear" w:color="auto" w:fill="F7F1E6"/>
          </w:tcPr>
          <w:p w:rsidR="002B5D47" w:rsidRDefault="00A332B9">
            <w:r>
              <w:rPr>
                <w:sz w:val="20"/>
                <w:szCs w:val="20"/>
              </w:rPr>
              <w:t>Live / virtual</w:t>
            </w:r>
          </w:p>
        </w:tc>
        <w:tc>
          <w:tcPr>
            <w:tcW w:w="2900" w:type="dxa"/>
            <w:shd w:val="clear" w:color="auto" w:fill="F7F1E6"/>
          </w:tcPr>
          <w:p w:rsidR="002B5D47" w:rsidRDefault="00A332B9">
            <w:r>
              <w:rPr>
                <w:sz w:val="20"/>
                <w:szCs w:val="20"/>
              </w:rPr>
              <w:t>Monthly</w:t>
            </w:r>
          </w:p>
        </w:tc>
        <w:tc>
          <w:tcPr>
            <w:tcW w:w="2000" w:type="dxa"/>
            <w:shd w:val="clear" w:color="auto" w:fill="F7F1E6"/>
          </w:tcPr>
          <w:p w:rsidR="002B5D47" w:rsidRDefault="00A332B9">
            <w:r>
              <w:rPr>
                <w:sz w:val="20"/>
                <w:szCs w:val="20"/>
              </w:rPr>
              <w:t>Communications Department</w:t>
            </w:r>
          </w:p>
        </w:tc>
      </w:tr>
      <w:tr w:rsidR="002B5D47">
        <w:tblPrEx>
          <w:tblCellMar>
            <w:top w:w="0" w:type="dxa"/>
            <w:bottom w:w="0" w:type="dxa"/>
          </w:tblCellMar>
        </w:tblPrEx>
        <w:tc>
          <w:tcPr>
            <w:tcW w:w="2300" w:type="dxa"/>
          </w:tcPr>
          <w:p w:rsidR="002B5D47" w:rsidRDefault="00A332B9">
            <w:r>
              <w:rPr>
                <w:sz w:val="20"/>
                <w:szCs w:val="20"/>
              </w:rPr>
              <w:t>Hackathons / build challenges</w:t>
            </w:r>
          </w:p>
        </w:tc>
        <w:tc>
          <w:tcPr>
            <w:tcW w:w="1800" w:type="dxa"/>
          </w:tcPr>
          <w:p w:rsidR="002B5D47" w:rsidRDefault="00A332B9">
            <w:r>
              <w:rPr>
                <w:sz w:val="20"/>
                <w:szCs w:val="20"/>
              </w:rPr>
              <w:t>Live or async</w:t>
            </w:r>
          </w:p>
        </w:tc>
        <w:tc>
          <w:tcPr>
            <w:tcW w:w="2900" w:type="dxa"/>
          </w:tcPr>
          <w:p w:rsidR="002B5D47" w:rsidRDefault="00A332B9">
            <w:r>
              <w:rPr>
                <w:sz w:val="20"/>
                <w:szCs w:val="20"/>
              </w:rPr>
              <w:t>Biannual</w:t>
            </w:r>
          </w:p>
        </w:tc>
        <w:tc>
          <w:tcPr>
            <w:tcW w:w="2000" w:type="dxa"/>
          </w:tcPr>
          <w:p w:rsidR="002B5D47" w:rsidRDefault="00A332B9">
            <w:r>
              <w:rPr>
                <w:sz w:val="20"/>
                <w:szCs w:val="20"/>
              </w:rPr>
              <w:t>Communications Department</w:t>
            </w:r>
          </w:p>
        </w:tc>
      </w:tr>
      <w:tr w:rsidR="002B5D4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7F1E6"/>
          </w:tcPr>
          <w:p w:rsidR="002B5D47" w:rsidRDefault="00A332B9">
            <w:r>
              <w:rPr>
                <w:sz w:val="20"/>
                <w:szCs w:val="20"/>
              </w:rPr>
              <w:t>Local meetups</w:t>
            </w:r>
          </w:p>
        </w:tc>
        <w:tc>
          <w:tcPr>
            <w:tcW w:w="1800" w:type="dxa"/>
            <w:shd w:val="clear" w:color="auto" w:fill="F7F1E6"/>
          </w:tcPr>
          <w:p w:rsidR="002B5D47" w:rsidRDefault="00A332B9">
            <w:r>
              <w:rPr>
                <w:sz w:val="20"/>
                <w:szCs w:val="20"/>
              </w:rPr>
              <w:t>In-person</w:t>
            </w:r>
          </w:p>
        </w:tc>
        <w:tc>
          <w:tcPr>
            <w:tcW w:w="2900" w:type="dxa"/>
            <w:shd w:val="clear" w:color="auto" w:fill="F7F1E6"/>
          </w:tcPr>
          <w:p w:rsidR="002B5D47" w:rsidRDefault="00A332B9">
            <w:r>
              <w:rPr>
                <w:sz w:val="20"/>
                <w:szCs w:val="20"/>
              </w:rPr>
              <w:t>As regional interest allows</w:t>
            </w:r>
          </w:p>
        </w:tc>
        <w:tc>
          <w:tcPr>
            <w:tcW w:w="2000" w:type="dxa"/>
            <w:shd w:val="clear" w:color="auto" w:fill="F7F1E6"/>
          </w:tcPr>
          <w:p w:rsidR="002B5D47" w:rsidRDefault="00A332B9">
            <w:r>
              <w:rPr>
                <w:sz w:val="20"/>
                <w:szCs w:val="20"/>
              </w:rPr>
              <w:t>Community Moderators</w:t>
            </w:r>
          </w:p>
        </w:tc>
      </w:tr>
      <w:tr w:rsidR="002B5D47">
        <w:tblPrEx>
          <w:tblCellMar>
            <w:top w:w="0" w:type="dxa"/>
            <w:bottom w:w="0" w:type="dxa"/>
          </w:tblCellMar>
        </w:tblPrEx>
        <w:tc>
          <w:tcPr>
            <w:tcW w:w="2300" w:type="dxa"/>
          </w:tcPr>
          <w:p w:rsidR="002B5D47" w:rsidRDefault="00A332B9">
            <w:r>
              <w:rPr>
                <w:sz w:val="20"/>
                <w:szCs w:val="20"/>
              </w:rPr>
              <w:t>Anniversary / milestone celebration</w:t>
            </w:r>
          </w:p>
        </w:tc>
        <w:tc>
          <w:tcPr>
            <w:tcW w:w="1800" w:type="dxa"/>
          </w:tcPr>
          <w:p w:rsidR="002B5D47" w:rsidRDefault="00A332B9">
            <w:r>
              <w:rPr>
                <w:sz w:val="20"/>
                <w:szCs w:val="20"/>
              </w:rPr>
              <w:t>Live / virtual</w:t>
            </w:r>
          </w:p>
        </w:tc>
        <w:tc>
          <w:tcPr>
            <w:tcW w:w="2900" w:type="dxa"/>
          </w:tcPr>
          <w:p w:rsidR="002B5D47" w:rsidRDefault="00A332B9">
            <w:r>
              <w:rPr>
                <w:sz w:val="20"/>
                <w:szCs w:val="20"/>
              </w:rPr>
              <w:t>Annual</w:t>
            </w:r>
          </w:p>
        </w:tc>
        <w:tc>
          <w:tcPr>
            <w:tcW w:w="2000" w:type="dxa"/>
          </w:tcPr>
          <w:p w:rsidR="002B5D47" w:rsidRDefault="00A332B9">
            <w:r>
              <w:rPr>
                <w:sz w:val="20"/>
                <w:szCs w:val="20"/>
              </w:rPr>
              <w:t>Communications Department</w:t>
            </w:r>
          </w:p>
        </w:tc>
      </w:tr>
    </w:tbl>
    <w:p w:rsidR="002B5D47" w:rsidRDefault="002B5D47">
      <w:pPr>
        <w:spacing w:after="200"/>
      </w:pPr>
    </w:p>
    <w:p w:rsidR="002B5D47" w:rsidRDefault="00A332B9">
      <w:pPr>
        <w:pStyle w:val="Heading2"/>
        <w:spacing w:before="260" w:after="140"/>
      </w:pPr>
      <w:r>
        <w:rPr>
          <w:b/>
          <w:bCs/>
          <w:color w:val="1B2A41"/>
        </w:rPr>
        <w:t>3.2 Event Planning Checklist</w:t>
      </w:r>
    </w:p>
    <w:p w:rsidR="002B5D47" w:rsidRDefault="00A332B9">
      <w:pPr>
        <w:pStyle w:val="ListParagraph"/>
        <w:numPr>
          <w:ilvl w:val="0"/>
          <w:numId w:val="2"/>
        </w:numPr>
        <w:spacing w:after="100"/>
      </w:pPr>
      <w:r>
        <w:t>Confirm goal and target audience before choosing a format.</w:t>
      </w:r>
    </w:p>
    <w:p w:rsidR="002B5D47" w:rsidRDefault="00A332B9">
      <w:pPr>
        <w:pStyle w:val="ListParagraph"/>
        <w:numPr>
          <w:ilvl w:val="0"/>
          <w:numId w:val="2"/>
        </w:numPr>
        <w:spacing w:after="100"/>
      </w:pPr>
      <w:r>
        <w:t>Schedule at least three weeks in advance for anything requiring RSVPs or preparation.</w:t>
      </w:r>
    </w:p>
    <w:p w:rsidR="002B5D47" w:rsidRDefault="00A332B9">
      <w:pPr>
        <w:pStyle w:val="ListParagraph"/>
        <w:numPr>
          <w:ilvl w:val="0"/>
          <w:numId w:val="2"/>
        </w:numPr>
        <w:spacing w:after="100"/>
      </w:pPr>
      <w:r>
        <w:t>Promote through the channels defined in the Employer Branding Asset Library (Volume VI) and Editorial Guidelines (Volume II).</w:t>
      </w:r>
    </w:p>
    <w:p w:rsidR="002B5D47" w:rsidRDefault="00A332B9">
      <w:pPr>
        <w:pStyle w:val="ListParagraph"/>
        <w:numPr>
          <w:ilvl w:val="0"/>
          <w:numId w:val="2"/>
        </w:numPr>
        <w:spacing w:after="100"/>
      </w:pPr>
      <w:r>
        <w:t>Collect feedback immediately after the event while impressions are fresh.</w:t>
      </w:r>
    </w:p>
    <w:p w:rsidR="002B5D47" w:rsidRDefault="00A332B9">
      <w:pPr>
        <w:pStyle w:val="Heading2"/>
        <w:spacing w:before="260" w:after="140"/>
      </w:pPr>
      <w:r>
        <w:rPr>
          <w:b/>
          <w:bCs/>
          <w:color w:val="1B2A41"/>
        </w:rPr>
        <w:t>3.3 Accessibility</w:t>
      </w:r>
    </w:p>
    <w:p w:rsidR="002B5D47" w:rsidRDefault="00A332B9">
      <w:pPr>
        <w:spacing w:after="160" w:line="276" w:lineRule="auto"/>
      </w:pPr>
      <w:r>
        <w:t>Where possible, offer both live and re</w:t>
      </w:r>
      <w:r>
        <w:t>corded/async participation options so time zones and availability don't exclude members from taking part.</w:t>
      </w:r>
    </w:p>
    <w:p w:rsidR="00EB103D" w:rsidRDefault="00EB103D">
      <w:pPr>
        <w:pStyle w:val="Heading1"/>
        <w:pBdr>
          <w:bottom w:val="single" w:sz="6" w:space="4" w:color="B99A5B"/>
        </w:pBdr>
        <w:spacing w:before="360" w:after="200"/>
        <w:rPr>
          <w:rFonts w:ascii="Calibri" w:eastAsia="Calibri" w:hAnsi="Calibri" w:cs="Calibri"/>
          <w:b/>
          <w:bCs/>
          <w:color w:val="1B2A41"/>
        </w:rPr>
      </w:pPr>
    </w:p>
    <w:p w:rsidR="002B5D47" w:rsidRDefault="00A332B9">
      <w:pPr>
        <w:pStyle w:val="Heading1"/>
        <w:pBdr>
          <w:bottom w:val="single" w:sz="6" w:space="4" w:color="B99A5B"/>
        </w:pBdr>
        <w:spacing w:before="360" w:after="200"/>
      </w:pPr>
      <w:r>
        <w:rPr>
          <w:rFonts w:ascii="Calibri" w:eastAsia="Calibri" w:hAnsi="Calibri" w:cs="Calibri"/>
          <w:b/>
          <w:bCs/>
          <w:color w:val="1B2A41"/>
        </w:rPr>
        <w:lastRenderedPageBreak/>
        <w:t>Section 4: Engagement Strategy &amp; Governance</w:t>
      </w:r>
    </w:p>
    <w:p w:rsidR="002B5D47" w:rsidRDefault="00A332B9">
      <w:pPr>
        <w:pStyle w:val="Heading2"/>
        <w:spacing w:before="260" w:after="140"/>
      </w:pPr>
      <w:r>
        <w:rPr>
          <w:b/>
          <w:bCs/>
          <w:color w:val="1B2A41"/>
        </w:rPr>
        <w:t>4.1 Strategic Priorities</w:t>
      </w:r>
    </w:p>
    <w:p w:rsidR="002B5D47" w:rsidRDefault="00A332B9">
      <w:pPr>
        <w:pStyle w:val="ListParagraph"/>
        <w:numPr>
          <w:ilvl w:val="0"/>
          <w:numId w:val="2"/>
        </w:numPr>
        <w:spacing w:after="100"/>
      </w:pPr>
      <w:r>
        <w:t>Grow consistent participation, not just one-time attendance.</w:t>
      </w:r>
    </w:p>
    <w:p w:rsidR="002B5D47" w:rsidRDefault="00A332B9">
      <w:pPr>
        <w:pStyle w:val="ListParagraph"/>
        <w:numPr>
          <w:ilvl w:val="0"/>
          <w:numId w:val="2"/>
        </w:numPr>
        <w:spacing w:after="100"/>
      </w:pPr>
      <w:r>
        <w:t>Strengthen peer-to-p</w:t>
      </w:r>
      <w:r>
        <w:t>eer connection, not only top-down communication from Horquva.</w:t>
      </w:r>
    </w:p>
    <w:p w:rsidR="002B5D47" w:rsidRDefault="00A332B9">
      <w:pPr>
        <w:pStyle w:val="ListParagraph"/>
        <w:numPr>
          <w:ilvl w:val="0"/>
          <w:numId w:val="2"/>
        </w:numPr>
        <w:spacing w:after="100"/>
      </w:pPr>
      <w:r>
        <w:t>Surface community feedback into actual product and community decisions.</w:t>
      </w:r>
    </w:p>
    <w:p w:rsidR="002B5D47" w:rsidRDefault="00A332B9">
      <w:pPr>
        <w:pStyle w:val="Heading2"/>
        <w:spacing w:before="260" w:after="140"/>
      </w:pPr>
      <w:r>
        <w:rPr>
          <w:b/>
          <w:bCs/>
          <w:color w:val="1B2A41"/>
        </w:rPr>
        <w:t>4.2 Ownership</w:t>
      </w:r>
    </w:p>
    <w:p w:rsidR="002B5D47" w:rsidRDefault="00A332B9">
      <w:pPr>
        <w:spacing w:after="160" w:line="276" w:lineRule="auto"/>
      </w:pPr>
      <w:r>
        <w:t>The Communications Department owns this engagement plan, working closely with Community Moderators to execute initiatives, activities, and events.</w:t>
      </w:r>
    </w:p>
    <w:p w:rsidR="002B5D47" w:rsidRDefault="00A332B9">
      <w:pPr>
        <w:pStyle w:val="Heading2"/>
        <w:spacing w:before="260" w:after="140"/>
      </w:pPr>
      <w:r>
        <w:rPr>
          <w:b/>
          <w:bCs/>
          <w:color w:val="1B2A41"/>
        </w:rPr>
        <w:t>4.3 Review Cycle</w:t>
      </w:r>
    </w:p>
    <w:p w:rsidR="002B5D47" w:rsidRDefault="00A332B9">
      <w:pPr>
        <w:spacing w:after="160" w:line="276" w:lineRule="auto"/>
      </w:pPr>
      <w:r>
        <w:t>This plan is reviewed every six months, incorporating participation data and community feedb</w:t>
      </w:r>
      <w:r>
        <w:t>ack from the prior period.</w:t>
      </w:r>
    </w:p>
    <w:p w:rsidR="002B5D47" w:rsidRDefault="00A332B9">
      <w:pPr>
        <w:pStyle w:val="Heading2"/>
        <w:spacing w:before="260" w:after="140"/>
      </w:pPr>
      <w:r>
        <w:rPr>
          <w:b/>
          <w:bCs/>
          <w:color w:val="1B2A41"/>
        </w:rPr>
        <w:t>4.4 Reporting</w:t>
      </w:r>
    </w:p>
    <w:p w:rsidR="002B5D47" w:rsidRDefault="00A332B9">
      <w:pPr>
        <w:spacing w:after="160" w:line="276" w:lineRule="auto"/>
      </w:pPr>
      <w:r>
        <w:t>A brief engagement summary — participation trends, event turnout, and initiative health — is compiled each quarter and shared internally.</w:t>
      </w:r>
    </w:p>
    <w:p w:rsidR="002B5D47" w:rsidRDefault="00A332B9">
      <w:pPr>
        <w:pStyle w:val="Heading2"/>
        <w:spacing w:before="260" w:after="140"/>
      </w:pPr>
      <w:r>
        <w:rPr>
          <w:b/>
          <w:bCs/>
          <w:color w:val="1B2A41"/>
        </w:rPr>
        <w:t>4.5 Feedback &amp; Updates</w:t>
      </w:r>
    </w:p>
    <w:p w:rsidR="002B5D47" w:rsidRDefault="00A332B9">
      <w:pPr>
        <w:spacing w:after="160" w:line="276" w:lineRule="auto"/>
      </w:pPr>
      <w:r>
        <w:t>Community members may propose new initiatives, activit</w:t>
      </w:r>
      <w:r>
        <w:t>ies, or events through the official feedback channel, routed to the Communications Department for quarterly review.</w:t>
      </w:r>
    </w:p>
    <w:p w:rsidR="002B5D47" w:rsidRDefault="00A332B9">
      <w:pPr>
        <w:pStyle w:val="Heading1"/>
        <w:pageBreakBefore/>
        <w:pBdr>
          <w:bottom w:val="single" w:sz="6" w:space="4" w:color="B99A5B"/>
        </w:pBdr>
        <w:spacing w:before="360" w:after="200"/>
      </w:pPr>
      <w:r>
        <w:rPr>
          <w:rFonts w:ascii="Calibri" w:eastAsia="Calibri" w:hAnsi="Calibri" w:cs="Calibri"/>
          <w:b/>
          <w:bCs/>
          <w:color w:val="1B2A41"/>
        </w:rPr>
        <w:lastRenderedPageBreak/>
        <w:t>Document Control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2B5D4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FEFEF"/>
          </w:tcPr>
          <w:p w:rsidR="002B5D47" w:rsidRDefault="00A332B9">
            <w:r>
              <w:rPr>
                <w:b/>
                <w:bCs/>
                <w:color w:val="1B2A41"/>
                <w:sz w:val="22"/>
                <w:szCs w:val="22"/>
              </w:rPr>
              <w:t>Prepared for</w:t>
            </w:r>
          </w:p>
        </w:tc>
        <w:tc>
          <w:tcPr>
            <w:tcW w:w="6000" w:type="dxa"/>
          </w:tcPr>
          <w:p w:rsidR="002B5D47" w:rsidRDefault="00A332B9">
            <w:r>
              <w:rPr>
                <w:sz w:val="22"/>
                <w:szCs w:val="22"/>
              </w:rPr>
              <w:t>Horquva – VEGA Ecosystem</w:t>
            </w:r>
          </w:p>
        </w:tc>
      </w:tr>
      <w:tr w:rsidR="002B5D4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FEFEF"/>
          </w:tcPr>
          <w:p w:rsidR="002B5D47" w:rsidRDefault="00A332B9">
            <w:r>
              <w:rPr>
                <w:b/>
                <w:bCs/>
                <w:color w:val="1B2A41"/>
                <w:sz w:val="22"/>
                <w:szCs w:val="22"/>
              </w:rPr>
              <w:t>Department</w:t>
            </w:r>
          </w:p>
        </w:tc>
        <w:tc>
          <w:tcPr>
            <w:tcW w:w="6000" w:type="dxa"/>
          </w:tcPr>
          <w:p w:rsidR="002B5D47" w:rsidRDefault="00A332B9">
            <w:r>
              <w:rPr>
                <w:sz w:val="22"/>
                <w:szCs w:val="22"/>
              </w:rPr>
              <w:t>Communications Department</w:t>
            </w:r>
          </w:p>
        </w:tc>
      </w:tr>
      <w:tr w:rsidR="002B5D4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FEFEF"/>
          </w:tcPr>
          <w:p w:rsidR="002B5D47" w:rsidRDefault="00A332B9">
            <w:r>
              <w:rPr>
                <w:b/>
                <w:bCs/>
                <w:color w:val="1B2A41"/>
                <w:sz w:val="22"/>
                <w:szCs w:val="22"/>
              </w:rPr>
              <w:t>Version</w:t>
            </w:r>
          </w:p>
        </w:tc>
        <w:tc>
          <w:tcPr>
            <w:tcW w:w="6000" w:type="dxa"/>
          </w:tcPr>
          <w:p w:rsidR="002B5D47" w:rsidRDefault="00A332B9">
            <w:r>
              <w:rPr>
                <w:sz w:val="22"/>
                <w:szCs w:val="22"/>
              </w:rPr>
              <w:t>1.0</w:t>
            </w:r>
          </w:p>
        </w:tc>
      </w:tr>
      <w:tr w:rsidR="002B5D4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FEFEF"/>
          </w:tcPr>
          <w:p w:rsidR="002B5D47" w:rsidRDefault="00A332B9">
            <w:r>
              <w:rPr>
                <w:b/>
                <w:bCs/>
                <w:color w:val="1B2A41"/>
                <w:sz w:val="22"/>
                <w:szCs w:val="22"/>
              </w:rPr>
              <w:t>Date</w:t>
            </w:r>
          </w:p>
        </w:tc>
        <w:tc>
          <w:tcPr>
            <w:tcW w:w="6000" w:type="dxa"/>
          </w:tcPr>
          <w:p w:rsidR="002B5D47" w:rsidRDefault="00A332B9">
            <w:r>
              <w:rPr>
                <w:sz w:val="22"/>
                <w:szCs w:val="22"/>
              </w:rPr>
              <w:t>August 7, 2026</w:t>
            </w:r>
          </w:p>
        </w:tc>
      </w:tr>
    </w:tbl>
    <w:p w:rsidR="00A332B9" w:rsidRDefault="00A332B9">
      <w:bookmarkStart w:id="0" w:name="_GoBack"/>
      <w:bookmarkEnd w:id="0"/>
    </w:p>
    <w:sectPr w:rsidR="00A332B9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32B9" w:rsidRDefault="00A332B9">
      <w:r>
        <w:separator/>
      </w:r>
    </w:p>
  </w:endnote>
  <w:endnote w:type="continuationSeparator" w:id="0">
    <w:p w:rsidR="00A332B9" w:rsidRDefault="00A332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5D47" w:rsidRDefault="002B5D47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5D47" w:rsidRDefault="002B5D47"/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5D47" w:rsidRDefault="00A332B9">
    <w:pPr>
      <w:pBdr>
        <w:top w:val="single" w:sz="4" w:space="4" w:color="BBBBBB"/>
      </w:pBdr>
      <w:tabs>
        <w:tab w:val="right" w:pos="9026"/>
      </w:tabs>
    </w:pPr>
    <w:r>
      <w:rPr>
        <w:rFonts w:ascii="Calibri" w:eastAsia="Calibri" w:hAnsi="Calibri" w:cs="Calibri"/>
        <w:color w:val="6E6E6E"/>
        <w:sz w:val="16"/>
        <w:szCs w:val="16"/>
      </w:rPr>
      <w:t>CONFIDENTIAL &amp; PROPRIETARY</w:t>
    </w:r>
    <w:r>
      <w:rPr>
        <w:rFonts w:ascii="Calibri" w:eastAsia="Calibri" w:hAnsi="Calibri" w:cs="Calibri"/>
        <w:sz w:val="16"/>
        <w:szCs w:val="16"/>
      </w:rPr>
      <w:tab/>
    </w:r>
    <w:r>
      <w:rPr>
        <w:rFonts w:ascii="Calibri" w:eastAsia="Calibri" w:hAnsi="Calibri" w:cs="Calibri"/>
        <w:color w:val="6E6E6E"/>
        <w:sz w:val="16"/>
        <w:szCs w:val="16"/>
      </w:rPr>
      <w:t xml:space="preserve">Page </w:t>
    </w:r>
    <w:r>
      <w:rPr>
        <w:rFonts w:ascii="Calibri" w:eastAsia="Calibri" w:hAnsi="Calibri" w:cs="Calibri"/>
        <w:color w:val="6E6E6E"/>
        <w:sz w:val="16"/>
        <w:szCs w:val="16"/>
      </w:rPr>
      <w:fldChar w:fldCharType="begin"/>
    </w:r>
    <w:r>
      <w:rPr>
        <w:rFonts w:ascii="Calibri" w:eastAsia="Calibri" w:hAnsi="Calibri" w:cs="Calibri"/>
        <w:color w:val="6E6E6E"/>
        <w:sz w:val="16"/>
        <w:szCs w:val="16"/>
      </w:rPr>
      <w:instrText>PAGE</w:instrText>
    </w:r>
    <w:r w:rsidR="00EB103D">
      <w:rPr>
        <w:rFonts w:ascii="Calibri" w:eastAsia="Calibri" w:hAnsi="Calibri" w:cs="Calibri"/>
        <w:color w:val="6E6E6E"/>
        <w:sz w:val="16"/>
        <w:szCs w:val="16"/>
      </w:rPr>
      <w:fldChar w:fldCharType="separate"/>
    </w:r>
    <w:r w:rsidR="00EB103D">
      <w:rPr>
        <w:rFonts w:ascii="Calibri" w:eastAsia="Calibri" w:hAnsi="Calibri" w:cs="Calibri"/>
        <w:noProof/>
        <w:color w:val="6E6E6E"/>
        <w:sz w:val="16"/>
        <w:szCs w:val="16"/>
      </w:rPr>
      <w:t>4</w:t>
    </w:r>
    <w:r>
      <w:rPr>
        <w:rFonts w:ascii="Calibri" w:eastAsia="Calibri" w:hAnsi="Calibri" w:cs="Calibri"/>
        <w:color w:val="6E6E6E"/>
        <w:sz w:val="16"/>
        <w:szCs w:val="16"/>
      </w:rPr>
      <w:fldChar w:fldCharType="end"/>
    </w:r>
    <w:r>
      <w:rPr>
        <w:rFonts w:ascii="Calibri" w:eastAsia="Calibri" w:hAnsi="Calibri" w:cs="Calibri"/>
        <w:color w:val="6E6E6E"/>
        <w:sz w:val="16"/>
        <w:szCs w:val="16"/>
      </w:rPr>
      <w:t xml:space="preserve"> of </w:t>
    </w:r>
    <w:r>
      <w:rPr>
        <w:rFonts w:ascii="Calibri" w:eastAsia="Calibri" w:hAnsi="Calibri" w:cs="Calibri"/>
        <w:color w:val="6E6E6E"/>
        <w:sz w:val="16"/>
        <w:szCs w:val="16"/>
      </w:rPr>
      <w:fldChar w:fldCharType="begin"/>
    </w:r>
    <w:r>
      <w:rPr>
        <w:rFonts w:ascii="Calibri" w:eastAsia="Calibri" w:hAnsi="Calibri" w:cs="Calibri"/>
        <w:color w:val="6E6E6E"/>
        <w:sz w:val="16"/>
        <w:szCs w:val="16"/>
      </w:rPr>
      <w:instrText>NUMPAGES</w:instrText>
    </w:r>
    <w:r w:rsidR="00EB103D">
      <w:rPr>
        <w:rFonts w:ascii="Calibri" w:eastAsia="Calibri" w:hAnsi="Calibri" w:cs="Calibri"/>
        <w:color w:val="6E6E6E"/>
        <w:sz w:val="16"/>
        <w:szCs w:val="16"/>
      </w:rPr>
      <w:fldChar w:fldCharType="separate"/>
    </w:r>
    <w:r w:rsidR="00EB103D">
      <w:rPr>
        <w:rFonts w:ascii="Calibri" w:eastAsia="Calibri" w:hAnsi="Calibri" w:cs="Calibri"/>
        <w:noProof/>
        <w:color w:val="6E6E6E"/>
        <w:sz w:val="16"/>
        <w:szCs w:val="16"/>
      </w:rPr>
      <w:t>7</w:t>
    </w:r>
    <w:r>
      <w:rPr>
        <w:rFonts w:ascii="Calibri" w:eastAsia="Calibri" w:hAnsi="Calibri" w:cs="Calibri"/>
        <w:color w:val="6E6E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32B9" w:rsidRDefault="00A332B9">
      <w:r>
        <w:separator/>
      </w:r>
    </w:p>
  </w:footnote>
  <w:footnote w:type="continuationSeparator" w:id="0">
    <w:p w:rsidR="00A332B9" w:rsidRDefault="00A332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5D47" w:rsidRDefault="002B5D47"/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5D47" w:rsidRDefault="002B5D47"/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5D47" w:rsidRDefault="00A332B9">
    <w:pPr>
      <w:pBdr>
        <w:bottom w:val="single" w:sz="4" w:space="4" w:color="BBBBBB"/>
      </w:pBdr>
      <w:tabs>
        <w:tab w:val="right" w:pos="9026"/>
      </w:tabs>
    </w:pPr>
    <w:r>
      <w:rPr>
        <w:rFonts w:ascii="Calibri" w:eastAsia="Calibri" w:hAnsi="Calibri" w:cs="Calibri"/>
        <w:caps/>
        <w:color w:val="6E6E6E"/>
        <w:sz w:val="16"/>
        <w:szCs w:val="16"/>
      </w:rPr>
      <w:t>HORQUVA®   |   VEGA COMMUNITY ENGAGEMENT PLAN — Volume VII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AB0EB8"/>
    <w:multiLevelType w:val="hybridMultilevel"/>
    <w:tmpl w:val="968A97E8"/>
    <w:lvl w:ilvl="0" w:tplc="03821414">
      <w:start w:val="1"/>
      <w:numFmt w:val="bullet"/>
      <w:lvlText w:val="•"/>
      <w:lvlJc w:val="left"/>
      <w:pPr>
        <w:ind w:left="520" w:hanging="260"/>
      </w:pPr>
    </w:lvl>
    <w:lvl w:ilvl="1" w:tplc="8D1E213E">
      <w:numFmt w:val="decimal"/>
      <w:lvlText w:val=""/>
      <w:lvlJc w:val="left"/>
    </w:lvl>
    <w:lvl w:ilvl="2" w:tplc="AC5270DA">
      <w:numFmt w:val="decimal"/>
      <w:lvlText w:val=""/>
      <w:lvlJc w:val="left"/>
    </w:lvl>
    <w:lvl w:ilvl="3" w:tplc="B468954E">
      <w:numFmt w:val="decimal"/>
      <w:lvlText w:val=""/>
      <w:lvlJc w:val="left"/>
    </w:lvl>
    <w:lvl w:ilvl="4" w:tplc="6422DE64">
      <w:numFmt w:val="decimal"/>
      <w:lvlText w:val=""/>
      <w:lvlJc w:val="left"/>
    </w:lvl>
    <w:lvl w:ilvl="5" w:tplc="51A47DA4">
      <w:numFmt w:val="decimal"/>
      <w:lvlText w:val=""/>
      <w:lvlJc w:val="left"/>
    </w:lvl>
    <w:lvl w:ilvl="6" w:tplc="8EB2B83C">
      <w:numFmt w:val="decimal"/>
      <w:lvlText w:val=""/>
      <w:lvlJc w:val="left"/>
    </w:lvl>
    <w:lvl w:ilvl="7" w:tplc="81D2E94C">
      <w:numFmt w:val="decimal"/>
      <w:lvlText w:val=""/>
      <w:lvlJc w:val="left"/>
    </w:lvl>
    <w:lvl w:ilvl="8" w:tplc="9AECD848">
      <w:numFmt w:val="decimal"/>
      <w:lvlText w:val=""/>
      <w:lvlJc w:val="left"/>
    </w:lvl>
  </w:abstractNum>
  <w:abstractNum w:abstractNumId="1" w15:restartNumberingAfterBreak="0">
    <w:nsid w:val="33DA6E7E"/>
    <w:multiLevelType w:val="hybridMultilevel"/>
    <w:tmpl w:val="48E84D40"/>
    <w:lvl w:ilvl="0" w:tplc="1CE869D8">
      <w:start w:val="1"/>
      <w:numFmt w:val="bullet"/>
      <w:lvlText w:val="●"/>
      <w:lvlJc w:val="left"/>
      <w:pPr>
        <w:ind w:left="720" w:hanging="360"/>
      </w:pPr>
    </w:lvl>
    <w:lvl w:ilvl="1" w:tplc="1330584E">
      <w:start w:val="1"/>
      <w:numFmt w:val="bullet"/>
      <w:lvlText w:val="○"/>
      <w:lvlJc w:val="left"/>
      <w:pPr>
        <w:ind w:left="1440" w:hanging="360"/>
      </w:pPr>
    </w:lvl>
    <w:lvl w:ilvl="2" w:tplc="0E74C460">
      <w:start w:val="1"/>
      <w:numFmt w:val="bullet"/>
      <w:lvlText w:val="■"/>
      <w:lvlJc w:val="left"/>
      <w:pPr>
        <w:ind w:left="2160" w:hanging="360"/>
      </w:pPr>
    </w:lvl>
    <w:lvl w:ilvl="3" w:tplc="1B6ED5B2">
      <w:start w:val="1"/>
      <w:numFmt w:val="bullet"/>
      <w:lvlText w:val="●"/>
      <w:lvlJc w:val="left"/>
      <w:pPr>
        <w:ind w:left="2880" w:hanging="360"/>
      </w:pPr>
    </w:lvl>
    <w:lvl w:ilvl="4" w:tplc="87F67480">
      <w:start w:val="1"/>
      <w:numFmt w:val="bullet"/>
      <w:lvlText w:val="○"/>
      <w:lvlJc w:val="left"/>
      <w:pPr>
        <w:ind w:left="3600" w:hanging="360"/>
      </w:pPr>
    </w:lvl>
    <w:lvl w:ilvl="5" w:tplc="C8FE3B64">
      <w:start w:val="1"/>
      <w:numFmt w:val="bullet"/>
      <w:lvlText w:val="■"/>
      <w:lvlJc w:val="left"/>
      <w:pPr>
        <w:ind w:left="4320" w:hanging="360"/>
      </w:pPr>
    </w:lvl>
    <w:lvl w:ilvl="6" w:tplc="BC6C1C42">
      <w:start w:val="1"/>
      <w:numFmt w:val="bullet"/>
      <w:lvlText w:val="●"/>
      <w:lvlJc w:val="left"/>
      <w:pPr>
        <w:ind w:left="5040" w:hanging="360"/>
      </w:pPr>
    </w:lvl>
    <w:lvl w:ilvl="7" w:tplc="810C444A">
      <w:start w:val="1"/>
      <w:numFmt w:val="bullet"/>
      <w:lvlText w:val="●"/>
      <w:lvlJc w:val="left"/>
      <w:pPr>
        <w:ind w:left="5760" w:hanging="360"/>
      </w:pPr>
    </w:lvl>
    <w:lvl w:ilvl="8" w:tplc="59BE379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5D47"/>
    <w:rsid w:val="002B5D47"/>
    <w:rsid w:val="00A332B9"/>
    <w:rsid w:val="00EB1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80E29"/>
  <w15:docId w15:val="{9ED65610-52FB-44B1-BC3C-373B9DDA5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835</Words>
  <Characters>4760</Characters>
  <Application>Microsoft Office Word</Application>
  <DocSecurity>0</DocSecurity>
  <Lines>39</Lines>
  <Paragraphs>11</Paragraphs>
  <ScaleCrop>false</ScaleCrop>
  <Company/>
  <LinksUpToDate>false</LinksUpToDate>
  <CharactersWithSpaces>5584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2</cp:revision>
  <dcterms:created xsi:type="dcterms:W3CDTF">2026-08-08T13:23:00Z</dcterms:created>
  <dcterms:modified xsi:type="dcterms:W3CDTF">2026-08-14T11:07:00Z</dcterms:modified>
</cp:coreProperties>
</file>