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4CE" w:rsidRDefault="0099522B">
      <w:pPr>
        <w:spacing w:after="400"/>
        <w:jc w:val="center"/>
      </w:pPr>
      <w:r>
        <w:rPr>
          <w:rFonts w:ascii="Calibri" w:eastAsia="Calibri" w:hAnsi="Calibri" w:cs="Calibri"/>
          <w:color w:val="6E6E6E"/>
          <w:sz w:val="18"/>
          <w:szCs w:val="18"/>
        </w:rPr>
        <w:t>HORQUVA®   |   VEGA CONTENT CALENDAR — Volume IX</w:t>
      </w:r>
    </w:p>
    <w:p w:rsidR="000654CE" w:rsidRDefault="000654CE">
      <w:pPr>
        <w:pBdr>
          <w:bottom w:val="single" w:sz="4" w:space="1" w:color="D8C8AE"/>
        </w:pBdr>
        <w:spacing w:after="700"/>
      </w:pPr>
    </w:p>
    <w:p w:rsidR="000654CE" w:rsidRDefault="0099522B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B2A41"/>
          <w:sz w:val="56"/>
          <w:szCs w:val="56"/>
        </w:rPr>
        <w:t>H O R Q U V A ®</w:t>
      </w:r>
    </w:p>
    <w:p w:rsidR="000654CE" w:rsidRDefault="0099522B">
      <w:pPr>
        <w:spacing w:after="60"/>
        <w:jc w:val="center"/>
      </w:pPr>
      <w:r>
        <w:rPr>
          <w:rFonts w:ascii="Calibri" w:eastAsia="Calibri" w:hAnsi="Calibri" w:cs="Calibri"/>
          <w:color w:val="B99A5B"/>
          <w:spacing w:val="20"/>
          <w:sz w:val="26"/>
          <w:szCs w:val="26"/>
        </w:rPr>
        <w:t>CONTENT CALENDAR GUIDEBOOK</w:t>
      </w:r>
    </w:p>
    <w:p w:rsidR="000654CE" w:rsidRDefault="0099522B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1B2A41"/>
          <w:sz w:val="32"/>
          <w:szCs w:val="32"/>
        </w:rPr>
        <w:t>Volume IX</w:t>
      </w:r>
    </w:p>
    <w:p w:rsidR="000654CE" w:rsidRDefault="000654CE">
      <w:pPr>
        <w:pBdr>
          <w:top w:val="single" w:sz="6" w:space="4" w:color="B99A5B"/>
        </w:pBdr>
        <w:spacing w:after="300"/>
        <w:jc w:val="center"/>
      </w:pPr>
    </w:p>
    <w:p w:rsidR="000654CE" w:rsidRDefault="0099522B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1B2A41"/>
          <w:sz w:val="30"/>
          <w:szCs w:val="30"/>
        </w:rPr>
        <w:t>THE VEGA ENTERPRISE CONTENT CALENDAR</w:t>
      </w:r>
    </w:p>
    <w:p w:rsidR="000654CE" w:rsidRDefault="000654CE">
      <w:pPr>
        <w:pBdr>
          <w:bottom w:val="single" w:sz="6" w:space="4" w:color="B99A5B"/>
        </w:pBdr>
        <w:spacing w:after="500"/>
        <w:jc w:val="center"/>
      </w:pPr>
    </w:p>
    <w:p w:rsidR="000654CE" w:rsidRDefault="0099522B">
      <w:pPr>
        <w:spacing w:after="700"/>
        <w:jc w:val="center"/>
      </w:pPr>
      <w:r>
        <w:rPr>
          <w:i/>
          <w:iCs/>
          <w:color w:val="333333"/>
        </w:rPr>
        <w:t>The Schedule, Frequency, and Timing That Structure All Horquva Content</w:t>
      </w:r>
    </w:p>
    <w:p w:rsidR="000654CE" w:rsidRDefault="0099522B">
      <w:pPr>
        <w:spacing w:after="40"/>
        <w:jc w:val="center"/>
      </w:pPr>
      <w:r>
        <w:rPr>
          <w:color w:val="6E6E6E"/>
          <w:sz w:val="22"/>
          <w:szCs w:val="22"/>
        </w:rPr>
        <w:t>Issued by</w:t>
      </w:r>
    </w:p>
    <w:p w:rsidR="000654CE" w:rsidRDefault="0099522B">
      <w:pPr>
        <w:spacing w:after="700"/>
        <w:jc w:val="center"/>
      </w:pPr>
      <w:r>
        <w:rPr>
          <w:b/>
          <w:bCs/>
          <w:color w:val="1B2A41"/>
          <w:sz w:val="26"/>
          <w:szCs w:val="26"/>
        </w:rPr>
        <w:t>Horquva Communications Department</w:t>
      </w:r>
    </w:p>
    <w:p w:rsidR="000654CE" w:rsidRDefault="0099522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2A41"/>
          <w:sz w:val="20"/>
          <w:szCs w:val="20"/>
        </w:rPr>
        <w:t>CONFIDENTIAL &amp; PROPRIETARY</w:t>
      </w:r>
    </w:p>
    <w:p w:rsidR="000654CE" w:rsidRDefault="0099522B">
      <w:pPr>
        <w:spacing w:after="40"/>
        <w:jc w:val="center"/>
      </w:pPr>
      <w:r>
        <w:rPr>
          <w:i/>
          <w:iCs/>
          <w:color w:val="6E6E6E"/>
          <w:sz w:val="20"/>
          <w:szCs w:val="20"/>
        </w:rPr>
        <w:t>Internal Communications Documentation</w:t>
      </w:r>
    </w:p>
    <w:p w:rsidR="000654CE" w:rsidRDefault="0099522B">
      <w:pPr>
        <w:spacing w:after="700"/>
        <w:jc w:val="center"/>
      </w:pPr>
      <w:r>
        <w:rPr>
          <w:color w:val="6E6E6E"/>
          <w:sz w:val="20"/>
          <w:szCs w:val="20"/>
        </w:rPr>
        <w:t>Version 1.0</w:t>
      </w:r>
    </w:p>
    <w:p w:rsidR="000654CE" w:rsidRDefault="0099522B">
      <w:pPr>
        <w:jc w:val="center"/>
      </w:pPr>
      <w:r>
        <w:rPr>
          <w:color w:val="6E6E6E"/>
          <w:sz w:val="18"/>
          <w:szCs w:val="18"/>
        </w:rPr>
        <w:t>© Horquva Technologies. All Rights Reserved.</w:t>
      </w:r>
    </w:p>
    <w:p w:rsidR="000654CE" w:rsidRDefault="0099522B">
      <w:r>
        <w:br w:type="page"/>
      </w:r>
    </w:p>
    <w:p w:rsidR="000654CE" w:rsidRDefault="000654CE">
      <w:pPr>
        <w:sectPr w:rsidR="000654CE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0654CE" w:rsidRDefault="0099522B">
      <w:pPr>
        <w:pStyle w:val="Heading1"/>
        <w:pBdr>
          <w:bottom w:val="single" w:sz="6" w:space="4" w:color="B99A5B"/>
        </w:pBdr>
        <w:spacing w:after="240"/>
      </w:pPr>
      <w:r>
        <w:rPr>
          <w:rFonts w:ascii="Calibri" w:eastAsia="Calibri" w:hAnsi="Calibri" w:cs="Calibri"/>
          <w:b/>
          <w:bCs/>
          <w:color w:val="1B2A41"/>
        </w:rPr>
        <w:lastRenderedPageBreak/>
        <w:t>A Message from the Communications Department</w:t>
      </w:r>
    </w:p>
    <w:p w:rsidR="000654CE" w:rsidRDefault="0099522B">
      <w:pPr>
        <w:spacing w:after="160" w:line="276" w:lineRule="auto"/>
      </w:pPr>
      <w:r>
        <w:t>Dear Team,</w:t>
      </w:r>
    </w:p>
    <w:p w:rsidR="000654CE" w:rsidRDefault="0099522B">
      <w:pPr>
        <w:spacing w:after="160" w:line="276" w:lineRule="auto"/>
      </w:pPr>
      <w:r>
        <w:t>Horquva publishes across many formats and channels — blogs, announcements, newsletters, and campaigns — each with its own writer, deadline, and audience. Without one shared view of what's coming, it's easy for content to collide, cluster awkwardly, or leave long gaps between publications.</w:t>
      </w:r>
    </w:p>
    <w:p w:rsidR="000654CE" w:rsidRDefault="0099522B">
      <w:pPr>
        <w:spacing w:after="160" w:line="276" w:lineRule="auto"/>
      </w:pPr>
      <w:r>
        <w:t>This calendar brings every content type together into a single, structured schedule. It exists so that anyone planning content, from a single blog post to a full campaign, can see what else is happening at the same time and plan accordingly.</w:t>
      </w:r>
    </w:p>
    <w:p w:rsidR="000654CE" w:rsidRDefault="0099522B">
      <w:pPr>
        <w:spacing w:after="160" w:line="276" w:lineRule="auto"/>
      </w:pPr>
      <w:r>
        <w:t>Sincerely,</w:t>
      </w:r>
    </w:p>
    <w:p w:rsidR="000654CE" w:rsidRDefault="0099522B">
      <w:pPr>
        <w:spacing w:after="160"/>
      </w:pPr>
      <w:r>
        <w:rPr>
          <w:b/>
          <w:bCs/>
          <w:color w:val="1B2A41"/>
        </w:rPr>
        <w:t>Horquva Communications Department</w:t>
      </w:r>
    </w:p>
    <w:p w:rsidR="000654CE" w:rsidRDefault="0099522B">
      <w:r>
        <w:br w:type="page"/>
      </w:r>
    </w:p>
    <w:p w:rsidR="000654CE" w:rsidRDefault="0099522B">
      <w:pPr>
        <w:pStyle w:val="Heading1"/>
        <w:pBdr>
          <w:bottom w:val="single" w:sz="6" w:space="4" w:color="B99A5B"/>
        </w:pBdr>
        <w:spacing w:after="240"/>
      </w:pPr>
      <w:r>
        <w:rPr>
          <w:rFonts w:ascii="Calibri" w:eastAsia="Calibri" w:hAnsi="Calibri" w:cs="Calibri"/>
          <w:b/>
          <w:bCs/>
          <w:color w:val="1B2A41"/>
        </w:rPr>
        <w:lastRenderedPageBreak/>
        <w:t>Table of Contents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A Message from the Communications Department</w:t>
      </w:r>
      <w:r>
        <w:rPr>
          <w:color w:val="1B2A41"/>
        </w:rPr>
        <w:tab/>
        <w:t>2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Purpose</w:t>
      </w:r>
      <w:r>
        <w:rPr>
          <w:color w:val="1B2A41"/>
        </w:rPr>
        <w:tab/>
        <w:t>4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Why It Matters</w:t>
      </w:r>
      <w:r>
        <w:rPr>
          <w:color w:val="1B2A41"/>
        </w:rPr>
        <w:tab/>
        <w:t>4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Section 1: Content Scheduling</w:t>
      </w:r>
      <w:r>
        <w:rPr>
          <w:color w:val="1B2A41"/>
        </w:rPr>
        <w:tab/>
        <w:t>4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Section 2: Publishing Frequency</w:t>
      </w:r>
      <w:r>
        <w:rPr>
          <w:color w:val="1B2A41"/>
        </w:rPr>
        <w:tab/>
        <w:t>5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Section 3: Campaign Timing</w:t>
      </w:r>
      <w:r>
        <w:rPr>
          <w:color w:val="1B2A41"/>
        </w:rPr>
        <w:tab/>
        <w:t>5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Section 4: Calendar Governance</w:t>
      </w:r>
      <w:r>
        <w:rPr>
          <w:color w:val="1B2A41"/>
        </w:rPr>
        <w:tab/>
        <w:t>6</w:t>
      </w:r>
    </w:p>
    <w:p w:rsidR="000654CE" w:rsidRDefault="0099522B">
      <w:pPr>
        <w:tabs>
          <w:tab w:val="right" w:leader="dot" w:pos="9026"/>
        </w:tabs>
        <w:spacing w:after="160"/>
      </w:pPr>
      <w:r>
        <w:rPr>
          <w:color w:val="1B2A41"/>
        </w:rPr>
        <w:t>Document Control</w:t>
      </w:r>
      <w:r>
        <w:rPr>
          <w:color w:val="1B2A41"/>
        </w:rPr>
        <w:tab/>
        <w:t>7</w:t>
      </w:r>
    </w:p>
    <w:p w:rsidR="000654CE" w:rsidRDefault="0099522B">
      <w:r>
        <w:br w:type="page"/>
      </w:r>
    </w:p>
    <w:p w:rsidR="000654CE" w:rsidRDefault="0099522B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lastRenderedPageBreak/>
        <w:t>Purpose</w:t>
      </w:r>
    </w:p>
    <w:p w:rsidR="000654CE" w:rsidRDefault="0099522B">
      <w:pPr>
        <w:spacing w:after="160" w:line="276" w:lineRule="auto"/>
      </w:pPr>
      <w:r>
        <w:t>This document develops a structured schedule for publishing blogs, announcements, newsletters, and campaign content across the VEGA ecosystem.</w:t>
      </w:r>
    </w:p>
    <w:p w:rsidR="000654CE" w:rsidRDefault="0099522B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Why It Matters</w:t>
      </w:r>
    </w:p>
    <w:p w:rsidR="000654CE" w:rsidRDefault="0099522B">
      <w:pPr>
        <w:spacing w:after="160" w:line="276" w:lineRule="auto"/>
      </w:pPr>
      <w:r>
        <w:t>Content planning ensures consistent communication and supports long-term organizational visibility. Without a shared calendar, content across different formats and teams can overlap, cluster, or leave unpredictable gaps. This calendar exists to give every content type a place, and every contributor a clear view of the full publishing picture.</w:t>
      </w:r>
    </w:p>
    <w:p w:rsidR="000654CE" w:rsidRDefault="0099522B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Section 1: Content Scheduling</w:t>
      </w:r>
    </w:p>
    <w:p w:rsidR="000654CE" w:rsidRDefault="0099522B">
      <w:pPr>
        <w:spacing w:after="160" w:line="276" w:lineRule="auto"/>
      </w:pPr>
      <w:r>
        <w:t>All content produced across the VEGA ecosystem is tracked on one master calendar, organized by content type.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1.1 Content Types Tracked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2900"/>
        <w:gridCol w:w="2000"/>
      </w:tblGrid>
      <w:tr w:rsidR="000654CE">
        <w:trPr>
          <w:tblHeader/>
        </w:trPr>
        <w:tc>
          <w:tcPr>
            <w:tcW w:w="23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8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Volume</w:t>
            </w:r>
          </w:p>
        </w:tc>
        <w:tc>
          <w:tcPr>
            <w:tcW w:w="29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Typical Lead Time</w:t>
            </w:r>
          </w:p>
        </w:tc>
        <w:tc>
          <w:tcPr>
            <w:tcW w:w="20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Blog articles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Editorial Guidelines (Vol. II)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3–5 business days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Announcements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Editorial Guidelines (Vol. II)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1–2 business days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Newsletters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Newsletter Schedule (Vol. VIII)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Fixed per newsletter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Campaign content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This document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2–6 weeks (by campaign size)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Social media posts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Editorial Guidelines (Vol. II)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1 business day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Community events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Community Engagement Plan (Vol. VII)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3+ weeks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</w:tr>
    </w:tbl>
    <w:p w:rsidR="000654CE" w:rsidRDefault="000654CE">
      <w:pPr>
        <w:spacing w:after="200"/>
      </w:pP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1.2 Calendar Structure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t>The calendar is organized by month, with each entry tagged by content type, owner, and current stage (per the Publishing Workflows in Volume V).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t>Every entry links back to its source planning document (e.g., a campaign brief or newsletter theme plan).</w:t>
      </w:r>
    </w:p>
    <w:p w:rsidR="00953F3C" w:rsidRDefault="00953F3C">
      <w:pPr>
        <w:pStyle w:val="Heading1"/>
        <w:pBdr>
          <w:bottom w:val="single" w:sz="6" w:space="4" w:color="B99A5B"/>
        </w:pBdr>
        <w:spacing w:before="360" w:after="200"/>
        <w:rPr>
          <w:rFonts w:ascii="Calibri" w:eastAsia="Calibri" w:hAnsi="Calibri" w:cs="Calibri"/>
          <w:b/>
          <w:bCs/>
          <w:color w:val="1B2A41"/>
        </w:rPr>
      </w:pPr>
    </w:p>
    <w:p w:rsidR="000654CE" w:rsidRDefault="0099522B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lastRenderedPageBreak/>
        <w:t>Section 2: Publishing Frequency</w:t>
      </w:r>
    </w:p>
    <w:p w:rsidR="000654CE" w:rsidRDefault="0099522B">
      <w:pPr>
        <w:spacing w:after="160" w:line="276" w:lineRule="auto"/>
      </w:pPr>
      <w:r>
        <w:t>Baseline publishing frequency by content type, used to keep the calendar predictable and evenly spaced.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2.1 Frequency Targets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2900"/>
        <w:gridCol w:w="2000"/>
      </w:tblGrid>
      <w:tr w:rsidR="000654CE">
        <w:trPr>
          <w:tblHeader/>
        </w:trPr>
        <w:tc>
          <w:tcPr>
            <w:tcW w:w="23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8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Target Frequency</w:t>
            </w:r>
          </w:p>
        </w:tc>
        <w:tc>
          <w:tcPr>
            <w:tcW w:w="29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Flexibility</w:t>
            </w:r>
          </w:p>
        </w:tc>
        <w:tc>
          <w:tcPr>
            <w:tcW w:w="20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Blog articles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2–3 per month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Can shift ±1 week without approval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Announcements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As needed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Driven by actual company news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Newsletters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Per Volume VIII schedule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Low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Fixed cadence per newsletter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Campaign content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2–4 campaigns per year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Low once scheduled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Locked once campaign dates are set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Social media posts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3–5 per week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Filled around other scheduled content</w:t>
            </w:r>
          </w:p>
        </w:tc>
      </w:tr>
    </w:tbl>
    <w:p w:rsidR="000654CE" w:rsidRDefault="000654CE">
      <w:pPr>
        <w:spacing w:after="200"/>
      </w:pP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2.2 Avoiding Overlap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t>No two major content pieces (campaign launch, press release, major blog) should publish on the same day without a specific reason.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t>The Communications Department reviews the upcoming two weeks of the calendar each week to catch and resolve clustering.</w:t>
      </w:r>
    </w:p>
    <w:p w:rsidR="000654CE" w:rsidRDefault="0099522B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Section 3: Campaign Timing</w:t>
      </w:r>
    </w:p>
    <w:p w:rsidR="000654CE" w:rsidRDefault="0099522B">
      <w:pPr>
        <w:spacing w:after="160" w:line="276" w:lineRule="auto"/>
      </w:pPr>
      <w:r>
        <w:t>Campaigns require coordinated timing across multiple content types and are planned separately from routine content.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3.1 Campaign Planning Timeline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2900"/>
        <w:gridCol w:w="2000"/>
      </w:tblGrid>
      <w:tr w:rsidR="000654CE">
        <w:trPr>
          <w:tblHeader/>
        </w:trPr>
        <w:tc>
          <w:tcPr>
            <w:tcW w:w="23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8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Timing (Before Launch)</w:t>
            </w:r>
          </w:p>
        </w:tc>
        <w:tc>
          <w:tcPr>
            <w:tcW w:w="29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Responsible Party</w:t>
            </w:r>
          </w:p>
        </w:tc>
        <w:tc>
          <w:tcPr>
            <w:tcW w:w="2000" w:type="dxa"/>
            <w:shd w:val="clear" w:color="auto" w:fill="1B2A41"/>
            <w:vAlign w:val="center"/>
          </w:tcPr>
          <w:p w:rsidR="000654CE" w:rsidRDefault="0099522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Stage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Campaign brief finalized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6 weeks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Campaign Owner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Planning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Content assets drafted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Writers / Designers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Draft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Editorial &amp; brand review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2 weeks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Review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Final approval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Communications Department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Approval</w:t>
            </w:r>
          </w:p>
        </w:tc>
      </w:tr>
      <w:tr w:rsidR="000654CE">
        <w:tc>
          <w:tcPr>
            <w:tcW w:w="2300" w:type="dxa"/>
          </w:tcPr>
          <w:p w:rsidR="000654CE" w:rsidRDefault="0099522B">
            <w:r>
              <w:rPr>
                <w:sz w:val="20"/>
                <w:szCs w:val="20"/>
              </w:rPr>
              <w:t>Assets scheduled across channels</w:t>
            </w:r>
          </w:p>
        </w:tc>
        <w:tc>
          <w:tcPr>
            <w:tcW w:w="1800" w:type="dxa"/>
          </w:tcPr>
          <w:p w:rsidR="000654CE" w:rsidRDefault="0099522B">
            <w:r>
              <w:rPr>
                <w:sz w:val="20"/>
                <w:szCs w:val="20"/>
              </w:rPr>
              <w:t>3 business days</w:t>
            </w:r>
          </w:p>
        </w:tc>
        <w:tc>
          <w:tcPr>
            <w:tcW w:w="2900" w:type="dxa"/>
          </w:tcPr>
          <w:p w:rsidR="000654CE" w:rsidRDefault="0099522B">
            <w:r>
              <w:rPr>
                <w:sz w:val="20"/>
                <w:szCs w:val="20"/>
              </w:rPr>
              <w:t>Publisher</w:t>
            </w:r>
          </w:p>
        </w:tc>
        <w:tc>
          <w:tcPr>
            <w:tcW w:w="2000" w:type="dxa"/>
          </w:tcPr>
          <w:p w:rsidR="000654CE" w:rsidRDefault="0099522B">
            <w:r>
              <w:rPr>
                <w:sz w:val="20"/>
                <w:szCs w:val="20"/>
              </w:rPr>
              <w:t>Scheduling</w:t>
            </w:r>
          </w:p>
        </w:tc>
      </w:tr>
      <w:tr w:rsidR="000654CE">
        <w:tc>
          <w:tcPr>
            <w:tcW w:w="23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Campaign launch</w:t>
            </w:r>
          </w:p>
        </w:tc>
        <w:tc>
          <w:tcPr>
            <w:tcW w:w="18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0 (launch day)</w:t>
            </w:r>
          </w:p>
        </w:tc>
        <w:tc>
          <w:tcPr>
            <w:tcW w:w="29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Publisher</w:t>
            </w:r>
          </w:p>
        </w:tc>
        <w:tc>
          <w:tcPr>
            <w:tcW w:w="2000" w:type="dxa"/>
            <w:shd w:val="clear" w:color="auto" w:fill="F7F1E6"/>
          </w:tcPr>
          <w:p w:rsidR="000654CE" w:rsidRDefault="0099522B">
            <w:r>
              <w:rPr>
                <w:sz w:val="20"/>
                <w:szCs w:val="20"/>
              </w:rPr>
              <w:t>Launch</w:t>
            </w:r>
          </w:p>
        </w:tc>
      </w:tr>
    </w:tbl>
    <w:p w:rsidR="000654CE" w:rsidRDefault="000654CE">
      <w:pPr>
        <w:spacing w:after="200"/>
      </w:pP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3.2 Timing Guidelines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t>Campaigns should be placed on the calendar as soon as dates are known, even before content is finalized, to reserve the slot and prevent overlap.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lastRenderedPageBreak/>
        <w:t>Avoid launching campaigns during weeks with a scheduled newsletter or major announcement unless the campaign is designed to align with it intentionally.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3.3 Post-Campaign Review</w:t>
      </w:r>
    </w:p>
    <w:p w:rsidR="000654CE" w:rsidRDefault="0099522B">
      <w:pPr>
        <w:spacing w:after="160" w:line="276" w:lineRule="auto"/>
      </w:pPr>
      <w:r>
        <w:t>Following each campaign, a short internal review captures what worked, what didn't, and any timing lessons to apply to future campaign planning.</w:t>
      </w:r>
    </w:p>
    <w:p w:rsidR="000654CE" w:rsidRDefault="0099522B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Section 4: Calendar Governance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4.1 Ownership</w:t>
      </w:r>
    </w:p>
    <w:p w:rsidR="000654CE" w:rsidRDefault="0099522B">
      <w:pPr>
        <w:spacing w:after="160" w:line="276" w:lineRule="auto"/>
      </w:pPr>
      <w:r>
        <w:t>The Communications Department owns the enterprise content calendar and is the single point of coordination across all content types.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4.2 Access &amp; Visibility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t>The calendar is visible to all Horquva team members so anyone can check for conflicts before proposing new content or campaign dates.</w:t>
      </w:r>
    </w:p>
    <w:p w:rsidR="000654CE" w:rsidRDefault="0099522B">
      <w:pPr>
        <w:pStyle w:val="ListParagraph"/>
        <w:numPr>
          <w:ilvl w:val="0"/>
          <w:numId w:val="2"/>
        </w:numPr>
        <w:spacing w:after="100"/>
      </w:pPr>
      <w:r>
        <w:t>Edit access is restricted to the Communications Department; other teams submit content requests for placement.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4.3 Review Cycle</w:t>
      </w:r>
    </w:p>
    <w:p w:rsidR="000654CE" w:rsidRDefault="0099522B">
      <w:pPr>
        <w:spacing w:after="160" w:line="276" w:lineRule="auto"/>
      </w:pPr>
      <w:r>
        <w:t>The overall calendar structure and frequency targets are reviewed every six months; individual entries are updated continuously as content moves through its lifecycle.</w:t>
      </w:r>
    </w:p>
    <w:p w:rsidR="000654CE" w:rsidRDefault="0099522B">
      <w:pPr>
        <w:pStyle w:val="Heading2"/>
        <w:spacing w:before="260" w:after="140"/>
      </w:pPr>
      <w:r>
        <w:rPr>
          <w:b/>
          <w:bCs/>
          <w:color w:val="1B2A41"/>
        </w:rPr>
        <w:t>4.4 Feedback &amp; Updates</w:t>
      </w:r>
    </w:p>
    <w:p w:rsidR="000654CE" w:rsidRDefault="0099522B">
      <w:pPr>
        <w:spacing w:after="160" w:line="276" w:lineRule="auto"/>
      </w:pPr>
      <w:r>
        <w:t>Team members may request calendar changes or propose new recurring content via the internal feedback form, routed to the Communications Department for review.</w:t>
      </w:r>
    </w:p>
    <w:p w:rsidR="000654CE" w:rsidRDefault="0099522B">
      <w:pPr>
        <w:pStyle w:val="Heading1"/>
        <w:pageBreakBefore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lastRenderedPageBreak/>
        <w:t>Document Control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654CE">
        <w:tc>
          <w:tcPr>
            <w:tcW w:w="3000" w:type="dxa"/>
            <w:shd w:val="clear" w:color="auto" w:fill="EFEFEF"/>
          </w:tcPr>
          <w:p w:rsidR="000654CE" w:rsidRDefault="0099522B">
            <w:r>
              <w:rPr>
                <w:b/>
                <w:bCs/>
                <w:color w:val="1B2A41"/>
                <w:sz w:val="22"/>
                <w:szCs w:val="22"/>
              </w:rPr>
              <w:t>Prepared for</w:t>
            </w:r>
          </w:p>
        </w:tc>
        <w:tc>
          <w:tcPr>
            <w:tcW w:w="6000" w:type="dxa"/>
          </w:tcPr>
          <w:p w:rsidR="000654CE" w:rsidRDefault="0099522B">
            <w:r>
              <w:rPr>
                <w:sz w:val="22"/>
                <w:szCs w:val="22"/>
              </w:rPr>
              <w:t>Horquva – VEGA Ecosystem</w:t>
            </w:r>
          </w:p>
        </w:tc>
      </w:tr>
      <w:tr w:rsidR="000654CE">
        <w:tc>
          <w:tcPr>
            <w:tcW w:w="3000" w:type="dxa"/>
            <w:shd w:val="clear" w:color="auto" w:fill="EFEFEF"/>
          </w:tcPr>
          <w:p w:rsidR="000654CE" w:rsidRDefault="0099522B">
            <w:r>
              <w:rPr>
                <w:b/>
                <w:bCs/>
                <w:color w:val="1B2A41"/>
                <w:sz w:val="22"/>
                <w:szCs w:val="22"/>
              </w:rPr>
              <w:t>Department</w:t>
            </w:r>
          </w:p>
        </w:tc>
        <w:tc>
          <w:tcPr>
            <w:tcW w:w="6000" w:type="dxa"/>
          </w:tcPr>
          <w:p w:rsidR="000654CE" w:rsidRDefault="0099522B">
            <w:r>
              <w:rPr>
                <w:sz w:val="22"/>
                <w:szCs w:val="22"/>
              </w:rPr>
              <w:t>Communications Department</w:t>
            </w:r>
          </w:p>
        </w:tc>
      </w:tr>
      <w:tr w:rsidR="000654CE">
        <w:tc>
          <w:tcPr>
            <w:tcW w:w="3000" w:type="dxa"/>
            <w:shd w:val="clear" w:color="auto" w:fill="EFEFEF"/>
          </w:tcPr>
          <w:p w:rsidR="000654CE" w:rsidRDefault="0099522B">
            <w:r>
              <w:rPr>
                <w:b/>
                <w:bCs/>
                <w:color w:val="1B2A41"/>
                <w:sz w:val="22"/>
                <w:szCs w:val="22"/>
              </w:rPr>
              <w:t>Version</w:t>
            </w:r>
          </w:p>
        </w:tc>
        <w:tc>
          <w:tcPr>
            <w:tcW w:w="6000" w:type="dxa"/>
          </w:tcPr>
          <w:p w:rsidR="000654CE" w:rsidRDefault="0099522B">
            <w:r>
              <w:rPr>
                <w:sz w:val="22"/>
                <w:szCs w:val="22"/>
              </w:rPr>
              <w:t>1.0</w:t>
            </w:r>
          </w:p>
        </w:tc>
      </w:tr>
      <w:tr w:rsidR="000654CE">
        <w:tc>
          <w:tcPr>
            <w:tcW w:w="3000" w:type="dxa"/>
            <w:shd w:val="clear" w:color="auto" w:fill="EFEFEF"/>
          </w:tcPr>
          <w:p w:rsidR="000654CE" w:rsidRDefault="0099522B">
            <w:r>
              <w:rPr>
                <w:b/>
                <w:bCs/>
                <w:color w:val="1B2A41"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:rsidR="000654CE" w:rsidRDefault="0099522B">
            <w:r>
              <w:rPr>
                <w:sz w:val="22"/>
                <w:szCs w:val="22"/>
              </w:rPr>
              <w:t>August 8, 2026</w:t>
            </w:r>
          </w:p>
        </w:tc>
      </w:tr>
    </w:tbl>
    <w:p w:rsidR="0099522B" w:rsidRDefault="0099522B">
      <w:bookmarkStart w:id="0" w:name="_GoBack"/>
      <w:bookmarkEnd w:id="0"/>
    </w:p>
    <w:sectPr w:rsidR="0099522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3D0" w:rsidRDefault="00DE63D0">
      <w:r>
        <w:separator/>
      </w:r>
    </w:p>
  </w:endnote>
  <w:endnote w:type="continuationSeparator" w:id="0">
    <w:p w:rsidR="00DE63D0" w:rsidRDefault="00DE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4CE" w:rsidRDefault="000654CE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4CE" w:rsidRDefault="000654CE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4CE" w:rsidRDefault="0099522B">
    <w:pPr>
      <w:pBdr>
        <w:top w:val="single" w:sz="4" w:space="4" w:color="BBBBBB"/>
      </w:pBdr>
      <w:tabs>
        <w:tab w:val="right" w:pos="9026"/>
      </w:tabs>
    </w:pPr>
    <w:r>
      <w:rPr>
        <w:rFonts w:ascii="Calibri" w:eastAsia="Calibri" w:hAnsi="Calibri" w:cs="Calibri"/>
        <w:color w:val="6E6E6E"/>
        <w:sz w:val="16"/>
        <w:szCs w:val="16"/>
      </w:rPr>
      <w:t>CONFIDENTIAL &amp; PROPRIETARY</w:t>
    </w:r>
    <w:r>
      <w:rPr>
        <w:rFonts w:ascii="Calibri" w:eastAsia="Calibri" w:hAnsi="Calibri" w:cs="Calibri"/>
        <w:sz w:val="16"/>
        <w:szCs w:val="16"/>
      </w:rPr>
      <w:tab/>
    </w:r>
    <w:r>
      <w:rPr>
        <w:rFonts w:ascii="Calibri" w:eastAsia="Calibri" w:hAnsi="Calibri" w:cs="Calibri"/>
        <w:color w:val="6E6E6E"/>
        <w:sz w:val="16"/>
        <w:szCs w:val="16"/>
      </w:rPr>
      <w:t xml:space="preserve">Page </w:t>
    </w:r>
    <w:r>
      <w:rPr>
        <w:rFonts w:ascii="Calibri" w:eastAsia="Calibri" w:hAnsi="Calibri" w:cs="Calibri"/>
        <w:color w:val="6E6E6E"/>
        <w:sz w:val="16"/>
        <w:szCs w:val="16"/>
      </w:rPr>
      <w:fldChar w:fldCharType="begin"/>
    </w:r>
    <w:r>
      <w:rPr>
        <w:rFonts w:ascii="Calibri" w:eastAsia="Calibri" w:hAnsi="Calibri" w:cs="Calibri"/>
        <w:color w:val="6E6E6E"/>
        <w:sz w:val="16"/>
        <w:szCs w:val="16"/>
      </w:rPr>
      <w:instrText>PAGE</w:instrText>
    </w:r>
    <w:r>
      <w:rPr>
        <w:rFonts w:ascii="Calibri" w:eastAsia="Calibri" w:hAnsi="Calibri" w:cs="Calibri"/>
        <w:color w:val="6E6E6E"/>
        <w:sz w:val="16"/>
        <w:szCs w:val="16"/>
      </w:rPr>
      <w:fldChar w:fldCharType="separate"/>
    </w:r>
    <w:r w:rsidR="00953F3C">
      <w:rPr>
        <w:rFonts w:ascii="Calibri" w:eastAsia="Calibri" w:hAnsi="Calibri" w:cs="Calibri"/>
        <w:noProof/>
        <w:color w:val="6E6E6E"/>
        <w:sz w:val="16"/>
        <w:szCs w:val="16"/>
      </w:rPr>
      <w:t>2</w:t>
    </w:r>
    <w:r>
      <w:rPr>
        <w:rFonts w:ascii="Calibri" w:eastAsia="Calibri" w:hAnsi="Calibri" w:cs="Calibri"/>
        <w:color w:val="6E6E6E"/>
        <w:sz w:val="16"/>
        <w:szCs w:val="16"/>
      </w:rPr>
      <w:fldChar w:fldCharType="end"/>
    </w:r>
    <w:r>
      <w:rPr>
        <w:rFonts w:ascii="Calibri" w:eastAsia="Calibri" w:hAnsi="Calibri" w:cs="Calibri"/>
        <w:color w:val="6E6E6E"/>
        <w:sz w:val="16"/>
        <w:szCs w:val="16"/>
      </w:rPr>
      <w:t xml:space="preserve"> of </w:t>
    </w:r>
    <w:r>
      <w:rPr>
        <w:rFonts w:ascii="Calibri" w:eastAsia="Calibri" w:hAnsi="Calibri" w:cs="Calibri"/>
        <w:color w:val="6E6E6E"/>
        <w:sz w:val="16"/>
        <w:szCs w:val="16"/>
      </w:rPr>
      <w:fldChar w:fldCharType="begin"/>
    </w:r>
    <w:r>
      <w:rPr>
        <w:rFonts w:ascii="Calibri" w:eastAsia="Calibri" w:hAnsi="Calibri" w:cs="Calibri"/>
        <w:color w:val="6E6E6E"/>
        <w:sz w:val="16"/>
        <w:szCs w:val="16"/>
      </w:rPr>
      <w:instrText>NUMPAGES</w:instrText>
    </w:r>
    <w:r>
      <w:rPr>
        <w:rFonts w:ascii="Calibri" w:eastAsia="Calibri" w:hAnsi="Calibri" w:cs="Calibri"/>
        <w:color w:val="6E6E6E"/>
        <w:sz w:val="16"/>
        <w:szCs w:val="16"/>
      </w:rPr>
      <w:fldChar w:fldCharType="separate"/>
    </w:r>
    <w:r w:rsidR="00953F3C">
      <w:rPr>
        <w:rFonts w:ascii="Calibri" w:eastAsia="Calibri" w:hAnsi="Calibri" w:cs="Calibri"/>
        <w:noProof/>
        <w:color w:val="6E6E6E"/>
        <w:sz w:val="16"/>
        <w:szCs w:val="16"/>
      </w:rPr>
      <w:t>7</w:t>
    </w:r>
    <w:r>
      <w:rPr>
        <w:rFonts w:ascii="Calibri" w:eastAsia="Calibri" w:hAnsi="Calibri" w:cs="Calibri"/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3D0" w:rsidRDefault="00DE63D0">
      <w:r>
        <w:separator/>
      </w:r>
    </w:p>
  </w:footnote>
  <w:footnote w:type="continuationSeparator" w:id="0">
    <w:p w:rsidR="00DE63D0" w:rsidRDefault="00DE6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4CE" w:rsidRDefault="000654CE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4CE" w:rsidRDefault="000654CE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4CE" w:rsidRDefault="0099522B">
    <w:pPr>
      <w:pBdr>
        <w:bottom w:val="single" w:sz="4" w:space="4" w:color="BBBBBB"/>
      </w:pBdr>
      <w:tabs>
        <w:tab w:val="right" w:pos="9026"/>
      </w:tabs>
    </w:pPr>
    <w:r>
      <w:rPr>
        <w:rFonts w:ascii="Calibri" w:eastAsia="Calibri" w:hAnsi="Calibri" w:cs="Calibri"/>
        <w:caps/>
        <w:color w:val="6E6E6E"/>
        <w:sz w:val="16"/>
        <w:szCs w:val="16"/>
      </w:rPr>
      <w:t>HORQUVA®   |   VEGA CONTENT CALENDAR — Volume 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563B2B"/>
    <w:multiLevelType w:val="hybridMultilevel"/>
    <w:tmpl w:val="487E861C"/>
    <w:lvl w:ilvl="0" w:tplc="6290C060">
      <w:start w:val="1"/>
      <w:numFmt w:val="bullet"/>
      <w:lvlText w:val="•"/>
      <w:lvlJc w:val="left"/>
      <w:pPr>
        <w:ind w:left="520" w:hanging="260"/>
      </w:pPr>
    </w:lvl>
    <w:lvl w:ilvl="1" w:tplc="98406522">
      <w:numFmt w:val="decimal"/>
      <w:lvlText w:val=""/>
      <w:lvlJc w:val="left"/>
    </w:lvl>
    <w:lvl w:ilvl="2" w:tplc="4BF2EDE8">
      <w:numFmt w:val="decimal"/>
      <w:lvlText w:val=""/>
      <w:lvlJc w:val="left"/>
    </w:lvl>
    <w:lvl w:ilvl="3" w:tplc="7940EF12">
      <w:numFmt w:val="decimal"/>
      <w:lvlText w:val=""/>
      <w:lvlJc w:val="left"/>
    </w:lvl>
    <w:lvl w:ilvl="4" w:tplc="19EAA0C2">
      <w:numFmt w:val="decimal"/>
      <w:lvlText w:val=""/>
      <w:lvlJc w:val="left"/>
    </w:lvl>
    <w:lvl w:ilvl="5" w:tplc="BDA01CA4">
      <w:numFmt w:val="decimal"/>
      <w:lvlText w:val=""/>
      <w:lvlJc w:val="left"/>
    </w:lvl>
    <w:lvl w:ilvl="6" w:tplc="452E4F2A">
      <w:numFmt w:val="decimal"/>
      <w:lvlText w:val=""/>
      <w:lvlJc w:val="left"/>
    </w:lvl>
    <w:lvl w:ilvl="7" w:tplc="7E54D186">
      <w:numFmt w:val="decimal"/>
      <w:lvlText w:val=""/>
      <w:lvlJc w:val="left"/>
    </w:lvl>
    <w:lvl w:ilvl="8" w:tplc="8C18E47E">
      <w:numFmt w:val="decimal"/>
      <w:lvlText w:val=""/>
      <w:lvlJc w:val="left"/>
    </w:lvl>
  </w:abstractNum>
  <w:abstractNum w:abstractNumId="1" w15:restartNumberingAfterBreak="0">
    <w:nsid w:val="631026E0"/>
    <w:multiLevelType w:val="hybridMultilevel"/>
    <w:tmpl w:val="52587592"/>
    <w:lvl w:ilvl="0" w:tplc="067E5362">
      <w:start w:val="1"/>
      <w:numFmt w:val="bullet"/>
      <w:lvlText w:val="●"/>
      <w:lvlJc w:val="left"/>
      <w:pPr>
        <w:ind w:left="720" w:hanging="360"/>
      </w:pPr>
    </w:lvl>
    <w:lvl w:ilvl="1" w:tplc="46405416">
      <w:start w:val="1"/>
      <w:numFmt w:val="bullet"/>
      <w:lvlText w:val="○"/>
      <w:lvlJc w:val="left"/>
      <w:pPr>
        <w:ind w:left="1440" w:hanging="360"/>
      </w:pPr>
    </w:lvl>
    <w:lvl w:ilvl="2" w:tplc="202A2CE2">
      <w:start w:val="1"/>
      <w:numFmt w:val="bullet"/>
      <w:lvlText w:val="■"/>
      <w:lvlJc w:val="left"/>
      <w:pPr>
        <w:ind w:left="2160" w:hanging="360"/>
      </w:pPr>
    </w:lvl>
    <w:lvl w:ilvl="3" w:tplc="3348A28A">
      <w:start w:val="1"/>
      <w:numFmt w:val="bullet"/>
      <w:lvlText w:val="●"/>
      <w:lvlJc w:val="left"/>
      <w:pPr>
        <w:ind w:left="2880" w:hanging="360"/>
      </w:pPr>
    </w:lvl>
    <w:lvl w:ilvl="4" w:tplc="FA1464A6">
      <w:start w:val="1"/>
      <w:numFmt w:val="bullet"/>
      <w:lvlText w:val="○"/>
      <w:lvlJc w:val="left"/>
      <w:pPr>
        <w:ind w:left="3600" w:hanging="360"/>
      </w:pPr>
    </w:lvl>
    <w:lvl w:ilvl="5" w:tplc="9B86E666">
      <w:start w:val="1"/>
      <w:numFmt w:val="bullet"/>
      <w:lvlText w:val="■"/>
      <w:lvlJc w:val="left"/>
      <w:pPr>
        <w:ind w:left="4320" w:hanging="360"/>
      </w:pPr>
    </w:lvl>
    <w:lvl w:ilvl="6" w:tplc="84948EBE">
      <w:start w:val="1"/>
      <w:numFmt w:val="bullet"/>
      <w:lvlText w:val="●"/>
      <w:lvlJc w:val="left"/>
      <w:pPr>
        <w:ind w:left="5040" w:hanging="360"/>
      </w:pPr>
    </w:lvl>
    <w:lvl w:ilvl="7" w:tplc="706AEECC">
      <w:start w:val="1"/>
      <w:numFmt w:val="bullet"/>
      <w:lvlText w:val="●"/>
      <w:lvlJc w:val="left"/>
      <w:pPr>
        <w:ind w:left="5760" w:hanging="360"/>
      </w:pPr>
    </w:lvl>
    <w:lvl w:ilvl="8" w:tplc="CF1883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4CE"/>
    <w:rsid w:val="00022F55"/>
    <w:rsid w:val="000654CE"/>
    <w:rsid w:val="002F4E28"/>
    <w:rsid w:val="00953F3C"/>
    <w:rsid w:val="0099522B"/>
    <w:rsid w:val="00C327BA"/>
    <w:rsid w:val="00DE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DC7F"/>
  <w15:docId w15:val="{A8EF5E11-F9EC-4BB7-ACB7-4F15225F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2026-08-08T13:52:00Z</dcterms:created>
  <dcterms:modified xsi:type="dcterms:W3CDTF">2026-08-14T10:56:00Z</dcterms:modified>
</cp:coreProperties>
</file>