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D6C" w:rsidRDefault="00B70EE7">
      <w:pPr>
        <w:spacing w:after="400"/>
        <w:jc w:val="center"/>
      </w:pPr>
      <w:r>
        <w:rPr>
          <w:rFonts w:ascii="Calibri" w:eastAsia="Calibri" w:hAnsi="Calibri" w:cs="Calibri"/>
          <w:color w:val="6E6E6E"/>
          <w:sz w:val="18"/>
          <w:szCs w:val="18"/>
        </w:rPr>
        <w:t>HORQUVA®   |   VEGA COMMUNITY GUIDELINES — Volume IV</w:t>
      </w:r>
    </w:p>
    <w:p w:rsidR="00115D6C" w:rsidRDefault="00115D6C">
      <w:pPr>
        <w:pBdr>
          <w:bottom w:val="single" w:sz="4" w:space="1" w:color="D8C8AE"/>
        </w:pBdr>
        <w:spacing w:after="700"/>
      </w:pPr>
    </w:p>
    <w:p w:rsidR="00115D6C" w:rsidRDefault="00B70EE7">
      <w:pPr>
        <w:spacing w:after="200"/>
        <w:jc w:val="center"/>
      </w:pPr>
      <w:r>
        <w:rPr>
          <w:rFonts w:ascii="Calibri" w:eastAsia="Calibri" w:hAnsi="Calibri" w:cs="Calibri"/>
          <w:b/>
          <w:bCs/>
          <w:color w:val="1B2A41"/>
          <w:sz w:val="56"/>
          <w:szCs w:val="56"/>
        </w:rPr>
        <w:t>H O R Q U V A ®</w:t>
      </w:r>
    </w:p>
    <w:p w:rsidR="00115D6C" w:rsidRDefault="00B70EE7">
      <w:pPr>
        <w:spacing w:after="60"/>
        <w:jc w:val="center"/>
      </w:pPr>
      <w:r>
        <w:rPr>
          <w:rFonts w:ascii="Calibri" w:eastAsia="Calibri" w:hAnsi="Calibri" w:cs="Calibri"/>
          <w:color w:val="B99A5B"/>
          <w:spacing w:val="20"/>
          <w:sz w:val="26"/>
          <w:szCs w:val="26"/>
        </w:rPr>
        <w:t>COMMUNITY GUIDEBOOK</w:t>
      </w:r>
    </w:p>
    <w:p w:rsidR="00115D6C" w:rsidRDefault="00B70EE7">
      <w:pPr>
        <w:spacing w:after="400"/>
        <w:jc w:val="center"/>
      </w:pPr>
      <w:r>
        <w:rPr>
          <w:rFonts w:ascii="Calibri" w:eastAsia="Calibri" w:hAnsi="Calibri" w:cs="Calibri"/>
          <w:b/>
          <w:bCs/>
          <w:color w:val="1B2A41"/>
          <w:sz w:val="32"/>
          <w:szCs w:val="32"/>
        </w:rPr>
        <w:t>Volume IV</w:t>
      </w:r>
    </w:p>
    <w:p w:rsidR="00115D6C" w:rsidRDefault="00115D6C">
      <w:pPr>
        <w:pBdr>
          <w:top w:val="single" w:sz="6" w:space="4" w:color="B99A5B"/>
        </w:pBdr>
        <w:spacing w:after="300"/>
        <w:jc w:val="center"/>
      </w:pPr>
    </w:p>
    <w:p w:rsidR="00115D6C" w:rsidRDefault="00B70EE7">
      <w:pPr>
        <w:spacing w:after="300"/>
        <w:jc w:val="center"/>
      </w:pPr>
      <w:r>
        <w:rPr>
          <w:rFonts w:ascii="Calibri" w:eastAsia="Calibri" w:hAnsi="Calibri" w:cs="Calibri"/>
          <w:b/>
          <w:bCs/>
          <w:color w:val="1B2A41"/>
          <w:sz w:val="30"/>
          <w:szCs w:val="30"/>
        </w:rPr>
        <w:t>THE VEGA COMMUNITY GUIDELINES</w:t>
      </w:r>
    </w:p>
    <w:p w:rsidR="00115D6C" w:rsidRDefault="00115D6C">
      <w:pPr>
        <w:pBdr>
          <w:bottom w:val="single" w:sz="6" w:space="4" w:color="B99A5B"/>
        </w:pBdr>
        <w:spacing w:after="500"/>
        <w:jc w:val="center"/>
      </w:pPr>
    </w:p>
    <w:p w:rsidR="00115D6C" w:rsidRDefault="00B70EE7">
      <w:pPr>
        <w:spacing w:after="700"/>
        <w:jc w:val="center"/>
      </w:pPr>
      <w:r>
        <w:rPr>
          <w:i/>
          <w:iCs/>
          <w:color w:val="333333"/>
        </w:rPr>
        <w:t>The Principles, Behavior, and Governance That Define How the Horquva Community Engages</w:t>
      </w:r>
    </w:p>
    <w:p w:rsidR="00115D6C" w:rsidRDefault="00B70EE7">
      <w:pPr>
        <w:spacing w:after="40"/>
        <w:jc w:val="center"/>
      </w:pPr>
      <w:r>
        <w:rPr>
          <w:color w:val="6E6E6E"/>
          <w:sz w:val="22"/>
          <w:szCs w:val="22"/>
        </w:rPr>
        <w:t>Issued by</w:t>
      </w:r>
    </w:p>
    <w:p w:rsidR="00115D6C" w:rsidRDefault="00B70EE7">
      <w:pPr>
        <w:spacing w:after="700"/>
        <w:jc w:val="center"/>
      </w:pPr>
      <w:r>
        <w:rPr>
          <w:b/>
          <w:bCs/>
          <w:color w:val="1B2A41"/>
          <w:sz w:val="26"/>
          <w:szCs w:val="26"/>
        </w:rPr>
        <w:t>Horquva Communications Department</w:t>
      </w:r>
    </w:p>
    <w:p w:rsidR="00115D6C" w:rsidRDefault="00B70EE7">
      <w:pPr>
        <w:spacing w:after="40"/>
        <w:jc w:val="center"/>
      </w:pPr>
      <w:r>
        <w:rPr>
          <w:rFonts w:ascii="Calibri" w:eastAsia="Calibri" w:hAnsi="Calibri" w:cs="Calibri"/>
          <w:b/>
          <w:bCs/>
          <w:color w:val="1B2A41"/>
          <w:sz w:val="20"/>
          <w:szCs w:val="20"/>
        </w:rPr>
        <w:t>CONFIDENTIAL &amp; PROPRIETARY</w:t>
      </w:r>
    </w:p>
    <w:p w:rsidR="00115D6C" w:rsidRDefault="00B70EE7">
      <w:pPr>
        <w:spacing w:after="40"/>
        <w:jc w:val="center"/>
      </w:pPr>
      <w:r>
        <w:rPr>
          <w:i/>
          <w:iCs/>
          <w:color w:val="6E6E6E"/>
          <w:sz w:val="20"/>
          <w:szCs w:val="20"/>
        </w:rPr>
        <w:t>Internal Communications Documentation</w:t>
      </w:r>
    </w:p>
    <w:p w:rsidR="00115D6C" w:rsidRDefault="00B70EE7">
      <w:pPr>
        <w:spacing w:after="700"/>
        <w:jc w:val="center"/>
      </w:pPr>
      <w:r>
        <w:rPr>
          <w:color w:val="6E6E6E"/>
          <w:sz w:val="20"/>
          <w:szCs w:val="20"/>
        </w:rPr>
        <w:t>Version 1.0</w:t>
      </w:r>
    </w:p>
    <w:p w:rsidR="00115D6C" w:rsidRDefault="00B70EE7">
      <w:pPr>
        <w:jc w:val="center"/>
      </w:pPr>
      <w:r>
        <w:rPr>
          <w:color w:val="6E6E6E"/>
          <w:sz w:val="18"/>
          <w:szCs w:val="18"/>
        </w:rPr>
        <w:t>© Horquva Technologies. All Rights Reserved.</w:t>
      </w:r>
    </w:p>
    <w:p w:rsidR="00115D6C" w:rsidRDefault="00B70EE7">
      <w:r>
        <w:br w:type="page"/>
      </w:r>
    </w:p>
    <w:p w:rsidR="00115D6C" w:rsidRDefault="00115D6C">
      <w:pPr>
        <w:sectPr w:rsidR="00115D6C">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115D6C" w:rsidRDefault="00B70EE7">
      <w:pPr>
        <w:pStyle w:val="Heading1"/>
        <w:pBdr>
          <w:bottom w:val="single" w:sz="6" w:space="4" w:color="B99A5B"/>
        </w:pBdr>
        <w:spacing w:after="240"/>
      </w:pPr>
      <w:r>
        <w:rPr>
          <w:rFonts w:ascii="Calibri" w:eastAsia="Calibri" w:hAnsi="Calibri" w:cs="Calibri"/>
          <w:b/>
          <w:bCs/>
          <w:color w:val="1B2A41"/>
        </w:rPr>
        <w:lastRenderedPageBreak/>
        <w:t>A Message from the Communications Department</w:t>
      </w:r>
    </w:p>
    <w:p w:rsidR="00115D6C" w:rsidRDefault="00B70EE7">
      <w:pPr>
        <w:spacing w:after="160" w:line="276" w:lineRule="auto"/>
      </w:pPr>
      <w:r>
        <w:t>Dear Community,</w:t>
      </w:r>
    </w:p>
    <w:p w:rsidR="00115D6C" w:rsidRDefault="00B70EE7">
      <w:pPr>
        <w:spacing w:after="160" w:line="276" w:lineRule="auto"/>
      </w:pPr>
      <w:r>
        <w:t xml:space="preserve">Horquva is built by more than just our internal teams — it is shaped by everyone who participates in the VEGA ecosystem: contributors, partners, customers, and members who show up to build, ask, </w:t>
      </w:r>
      <w:r>
        <w:t>share, and support one another. That kind of community only works when everyone can trust it will stay respectful, safe, and constructive.</w:t>
      </w:r>
    </w:p>
    <w:p w:rsidR="00115D6C" w:rsidRDefault="00B70EE7">
      <w:pPr>
        <w:spacing w:after="160" w:line="276" w:lineRule="auto"/>
      </w:pPr>
      <w:r>
        <w:t>This guide defines what respectful participation looks like within Horquva, what behavior is and isn't acceptable, an</w:t>
      </w:r>
      <w:r>
        <w:t>d how moderation decisions are made when something goes wrong. It exists to protect the people in this community, not to police them.</w:t>
      </w:r>
    </w:p>
    <w:p w:rsidR="00115D6C" w:rsidRDefault="00B70EE7">
      <w:pPr>
        <w:spacing w:after="160" w:line="276" w:lineRule="auto"/>
      </w:pPr>
      <w:r>
        <w:t>Thank you for being part of what makes Horquva more than just a product.</w:t>
      </w:r>
    </w:p>
    <w:p w:rsidR="00115D6C" w:rsidRDefault="00B70EE7">
      <w:pPr>
        <w:spacing w:after="160" w:line="276" w:lineRule="auto"/>
      </w:pPr>
      <w:r>
        <w:t>Sincerely,</w:t>
      </w:r>
    </w:p>
    <w:p w:rsidR="00115D6C" w:rsidRDefault="00B70EE7">
      <w:pPr>
        <w:spacing w:after="160"/>
      </w:pPr>
      <w:r>
        <w:rPr>
          <w:b/>
          <w:bCs/>
          <w:color w:val="1B2A41"/>
        </w:rPr>
        <w:t>Horquva Communications Department</w:t>
      </w:r>
    </w:p>
    <w:p w:rsidR="00115D6C" w:rsidRDefault="00B70EE7">
      <w:r>
        <w:br w:type="page"/>
      </w:r>
    </w:p>
    <w:p w:rsidR="00115D6C" w:rsidRDefault="00B70EE7">
      <w:pPr>
        <w:pStyle w:val="Heading1"/>
        <w:pBdr>
          <w:bottom w:val="single" w:sz="6" w:space="4" w:color="B99A5B"/>
        </w:pBdr>
        <w:spacing w:after="240"/>
      </w:pPr>
      <w:r>
        <w:rPr>
          <w:rFonts w:ascii="Calibri" w:eastAsia="Calibri" w:hAnsi="Calibri" w:cs="Calibri"/>
          <w:b/>
          <w:bCs/>
          <w:color w:val="1B2A41"/>
        </w:rPr>
        <w:lastRenderedPageBreak/>
        <w:t>Ta</w:t>
      </w:r>
      <w:r>
        <w:rPr>
          <w:rFonts w:ascii="Calibri" w:eastAsia="Calibri" w:hAnsi="Calibri" w:cs="Calibri"/>
          <w:b/>
          <w:bCs/>
          <w:color w:val="1B2A41"/>
        </w:rPr>
        <w:t>ble of Contents</w:t>
      </w:r>
    </w:p>
    <w:p w:rsidR="00115D6C" w:rsidRDefault="00B70EE7">
      <w:pPr>
        <w:tabs>
          <w:tab w:val="right" w:leader="dot" w:pos="9026"/>
        </w:tabs>
        <w:spacing w:after="160"/>
      </w:pPr>
      <w:r>
        <w:rPr>
          <w:color w:val="1B2A41"/>
        </w:rPr>
        <w:t>A Message from the Communications Department</w:t>
      </w:r>
      <w:r>
        <w:rPr>
          <w:color w:val="1B2A41"/>
        </w:rPr>
        <w:tab/>
        <w:t>2</w:t>
      </w:r>
    </w:p>
    <w:p w:rsidR="00115D6C" w:rsidRDefault="00B70EE7">
      <w:pPr>
        <w:tabs>
          <w:tab w:val="right" w:leader="dot" w:pos="9026"/>
        </w:tabs>
        <w:spacing w:after="160"/>
      </w:pPr>
      <w:r>
        <w:rPr>
          <w:color w:val="1B2A41"/>
        </w:rPr>
        <w:t>Purpose</w:t>
      </w:r>
      <w:r>
        <w:rPr>
          <w:color w:val="1B2A41"/>
        </w:rPr>
        <w:tab/>
        <w:t>4</w:t>
      </w:r>
    </w:p>
    <w:p w:rsidR="00115D6C" w:rsidRDefault="00B70EE7">
      <w:pPr>
        <w:tabs>
          <w:tab w:val="right" w:leader="dot" w:pos="9026"/>
        </w:tabs>
        <w:spacing w:after="160"/>
      </w:pPr>
      <w:r>
        <w:rPr>
          <w:color w:val="1B2A41"/>
        </w:rPr>
        <w:t>Why It Matters</w:t>
      </w:r>
      <w:r>
        <w:rPr>
          <w:color w:val="1B2A41"/>
        </w:rPr>
        <w:tab/>
        <w:t>4</w:t>
      </w:r>
    </w:p>
    <w:p w:rsidR="00115D6C" w:rsidRDefault="00B70EE7">
      <w:pPr>
        <w:tabs>
          <w:tab w:val="right" w:leader="dot" w:pos="9026"/>
        </w:tabs>
        <w:spacing w:after="160"/>
      </w:pPr>
      <w:r>
        <w:rPr>
          <w:color w:val="1B2A41"/>
        </w:rPr>
        <w:t>Section 1: Participation Principles</w:t>
      </w:r>
      <w:r>
        <w:rPr>
          <w:color w:val="1B2A41"/>
        </w:rPr>
        <w:tab/>
        <w:t>4</w:t>
      </w:r>
    </w:p>
    <w:p w:rsidR="00115D6C" w:rsidRDefault="00B70EE7">
      <w:pPr>
        <w:tabs>
          <w:tab w:val="right" w:leader="dot" w:pos="9026"/>
        </w:tabs>
        <w:spacing w:after="160"/>
      </w:pPr>
      <w:r>
        <w:rPr>
          <w:color w:val="1B2A41"/>
        </w:rPr>
        <w:t>Section 2: Acceptable Behavior</w:t>
      </w:r>
      <w:r>
        <w:rPr>
          <w:color w:val="1B2A41"/>
        </w:rPr>
        <w:tab/>
        <w:t>5</w:t>
      </w:r>
    </w:p>
    <w:p w:rsidR="00115D6C" w:rsidRDefault="00B70EE7">
      <w:pPr>
        <w:tabs>
          <w:tab w:val="right" w:leader="dot" w:pos="9026"/>
        </w:tabs>
        <w:spacing w:after="160"/>
      </w:pPr>
      <w:r>
        <w:rPr>
          <w:color w:val="1B2A41"/>
        </w:rPr>
        <w:t>Section 3: Moderation Guidance</w:t>
      </w:r>
      <w:r>
        <w:rPr>
          <w:color w:val="1B2A41"/>
        </w:rPr>
        <w:tab/>
        <w:t>5</w:t>
      </w:r>
    </w:p>
    <w:p w:rsidR="00115D6C" w:rsidRDefault="00B70EE7">
      <w:pPr>
        <w:tabs>
          <w:tab w:val="right" w:leader="dot" w:pos="9026"/>
        </w:tabs>
        <w:spacing w:after="160"/>
      </w:pPr>
      <w:r>
        <w:rPr>
          <w:color w:val="1B2A41"/>
        </w:rPr>
        <w:t>Section 4: Community Governance</w:t>
      </w:r>
      <w:r>
        <w:rPr>
          <w:color w:val="1B2A41"/>
        </w:rPr>
        <w:tab/>
        <w:t>6</w:t>
      </w:r>
    </w:p>
    <w:p w:rsidR="00115D6C" w:rsidRDefault="00B70EE7">
      <w:pPr>
        <w:tabs>
          <w:tab w:val="right" w:leader="dot" w:pos="9026"/>
        </w:tabs>
        <w:spacing w:after="160"/>
      </w:pPr>
      <w:r>
        <w:rPr>
          <w:color w:val="1B2A41"/>
        </w:rPr>
        <w:t>Document Control</w:t>
      </w:r>
      <w:r>
        <w:rPr>
          <w:color w:val="1B2A41"/>
        </w:rPr>
        <w:tab/>
        <w:t>7</w:t>
      </w:r>
    </w:p>
    <w:p w:rsidR="00115D6C" w:rsidRDefault="00B70EE7">
      <w:r>
        <w:br w:type="page"/>
      </w:r>
    </w:p>
    <w:p w:rsidR="00115D6C" w:rsidRDefault="00B70EE7">
      <w:pPr>
        <w:pStyle w:val="Heading1"/>
        <w:pBdr>
          <w:bottom w:val="single" w:sz="6" w:space="4" w:color="B99A5B"/>
        </w:pBdr>
        <w:spacing w:before="360" w:after="200"/>
      </w:pPr>
      <w:r>
        <w:rPr>
          <w:rFonts w:ascii="Calibri" w:eastAsia="Calibri" w:hAnsi="Calibri" w:cs="Calibri"/>
          <w:b/>
          <w:bCs/>
          <w:color w:val="1B2A41"/>
        </w:rPr>
        <w:lastRenderedPageBreak/>
        <w:t>Purpose</w:t>
      </w:r>
    </w:p>
    <w:p w:rsidR="00115D6C" w:rsidRDefault="00B70EE7">
      <w:pPr>
        <w:spacing w:after="160" w:line="276" w:lineRule="auto"/>
      </w:pPr>
      <w:r>
        <w:t>This document defines the standards that govern respectful participation and collaboration within the Horquva community. It applies to every space where community members interact on behalf of, or in connection with, the VEGA ecosystem — forums, chat chan</w:t>
      </w:r>
      <w:r>
        <w:t>nels, comment sections, events, and any other community-facing platform.</w:t>
      </w:r>
    </w:p>
    <w:p w:rsidR="00115D6C" w:rsidRDefault="00B70EE7">
      <w:pPr>
        <w:pStyle w:val="Heading1"/>
        <w:pBdr>
          <w:bottom w:val="single" w:sz="6" w:space="4" w:color="B99A5B"/>
        </w:pBdr>
        <w:spacing w:before="360" w:after="200"/>
      </w:pPr>
      <w:r>
        <w:rPr>
          <w:rFonts w:ascii="Calibri" w:eastAsia="Calibri" w:hAnsi="Calibri" w:cs="Calibri"/>
          <w:b/>
          <w:bCs/>
          <w:color w:val="1B2A41"/>
        </w:rPr>
        <w:t>Why It Matters</w:t>
      </w:r>
    </w:p>
    <w:p w:rsidR="00115D6C" w:rsidRDefault="00B70EE7">
      <w:pPr>
        <w:spacing w:after="160" w:line="276" w:lineRule="auto"/>
      </w:pPr>
      <w:r>
        <w:t>Community guidelines encourage healthy collaboration and establish clear behavioral expectations. Without them, community spaces risk becoming inconsistent, unwelcoming</w:t>
      </w:r>
      <w:r>
        <w:t>, or unsafe, discouraging the very participation that makes a community valuable. This guide gives every member, moderator, and contributor a shared understanding of what is expected, so the community stays constructive as it grows.</w:t>
      </w:r>
    </w:p>
    <w:p w:rsidR="00115D6C" w:rsidRDefault="00B70EE7">
      <w:pPr>
        <w:pStyle w:val="Heading1"/>
        <w:pBdr>
          <w:bottom w:val="single" w:sz="6" w:space="4" w:color="B99A5B"/>
        </w:pBdr>
        <w:spacing w:before="360" w:after="200"/>
      </w:pPr>
      <w:r>
        <w:rPr>
          <w:rFonts w:ascii="Calibri" w:eastAsia="Calibri" w:hAnsi="Calibri" w:cs="Calibri"/>
          <w:b/>
          <w:bCs/>
          <w:color w:val="1B2A41"/>
        </w:rPr>
        <w:t>Section 1: Participatio</w:t>
      </w:r>
      <w:r>
        <w:rPr>
          <w:rFonts w:ascii="Calibri" w:eastAsia="Calibri" w:hAnsi="Calibri" w:cs="Calibri"/>
          <w:b/>
          <w:bCs/>
          <w:color w:val="1B2A41"/>
        </w:rPr>
        <w:t>n Principles</w:t>
      </w:r>
    </w:p>
    <w:p w:rsidR="00115D6C" w:rsidRDefault="00B70EE7">
      <w:pPr>
        <w:spacing w:after="160" w:line="276" w:lineRule="auto"/>
      </w:pPr>
      <w:r>
        <w:t>These are the foundational values every member is expected to bring into the Horquva community.</w:t>
      </w:r>
    </w:p>
    <w:p w:rsidR="00115D6C" w:rsidRDefault="00B70EE7">
      <w:pPr>
        <w:pStyle w:val="Heading2"/>
        <w:spacing w:before="260" w:after="140"/>
      </w:pPr>
      <w:r>
        <w:rPr>
          <w:b/>
          <w:bCs/>
          <w:color w:val="1B2A41"/>
        </w:rPr>
        <w:t>1.1 Respect</w:t>
      </w:r>
    </w:p>
    <w:p w:rsidR="00115D6C" w:rsidRDefault="00B70EE7">
      <w:pPr>
        <w:spacing w:after="160" w:line="276" w:lineRule="auto"/>
      </w:pPr>
      <w:r>
        <w:t>Treat every member with courtesy, regardless of experience level, background, or disagreement. Disagreement is welcome; disrespect is not.</w:t>
      </w:r>
    </w:p>
    <w:p w:rsidR="00115D6C" w:rsidRDefault="00B70EE7">
      <w:pPr>
        <w:pStyle w:val="Heading2"/>
        <w:spacing w:before="260" w:after="140"/>
      </w:pPr>
      <w:r>
        <w:rPr>
          <w:b/>
          <w:bCs/>
          <w:color w:val="1B2A41"/>
        </w:rPr>
        <w:t>1.2 Constructiveness</w:t>
      </w:r>
    </w:p>
    <w:p w:rsidR="00115D6C" w:rsidRDefault="00B70EE7">
      <w:pPr>
        <w:spacing w:after="160" w:line="276" w:lineRule="auto"/>
      </w:pPr>
      <w:r>
        <w:t xml:space="preserve">Contribute in ways that move discussions forward — questions, feedback, and critique should aim </w:t>
      </w:r>
      <w:r>
        <w:t>to help, not to tear down.</w:t>
      </w:r>
    </w:p>
    <w:p w:rsidR="00115D6C" w:rsidRDefault="00B70EE7">
      <w:pPr>
        <w:pStyle w:val="Heading2"/>
        <w:spacing w:before="260" w:after="140"/>
      </w:pPr>
      <w:r>
        <w:rPr>
          <w:b/>
          <w:bCs/>
          <w:color w:val="1B2A41"/>
        </w:rPr>
        <w:t>1.3 Inclusivity</w:t>
      </w:r>
    </w:p>
    <w:p w:rsidR="00115D6C" w:rsidRDefault="00B70EE7">
      <w:pPr>
        <w:spacing w:after="160" w:line="276" w:lineRule="auto"/>
      </w:pPr>
      <w:r>
        <w:t>The Horquva community welcomes participants from all backgrounds. Language, assumptions, or behavior that excludes or alienates others based on identity is not tolerated.</w:t>
      </w:r>
    </w:p>
    <w:p w:rsidR="00115D6C" w:rsidRDefault="00B70EE7">
      <w:pPr>
        <w:pStyle w:val="Heading2"/>
        <w:spacing w:before="260" w:after="140"/>
      </w:pPr>
      <w:r>
        <w:rPr>
          <w:b/>
          <w:bCs/>
          <w:color w:val="1B2A41"/>
        </w:rPr>
        <w:t>1.4 Honesty</w:t>
      </w:r>
    </w:p>
    <w:p w:rsidR="00115D6C" w:rsidRDefault="00B70EE7">
      <w:pPr>
        <w:spacing w:after="160" w:line="276" w:lineRule="auto"/>
      </w:pPr>
      <w:r>
        <w:t>Represent yourself, your work,</w:t>
      </w:r>
      <w:r>
        <w:t xml:space="preserve"> and your intentions accurately. Do not misrepresent affiliation with Horquva or spread false information.</w:t>
      </w:r>
    </w:p>
    <w:p w:rsidR="00115D6C" w:rsidRDefault="00B70EE7">
      <w:pPr>
        <w:pStyle w:val="Heading2"/>
        <w:spacing w:before="260" w:after="140"/>
      </w:pPr>
      <w:r>
        <w:rPr>
          <w:b/>
          <w:bCs/>
          <w:color w:val="1B2A41"/>
        </w:rPr>
        <w:t>1.5 Accountability</w:t>
      </w:r>
    </w:p>
    <w:p w:rsidR="00115D6C" w:rsidRDefault="00B70EE7">
      <w:pPr>
        <w:spacing w:after="160" w:line="276" w:lineRule="auto"/>
      </w:pPr>
      <w:r>
        <w:t>Members are responsible for their own conduct and contributions, and are expected to take feedback or correction in good faith.</w:t>
      </w:r>
    </w:p>
    <w:p w:rsidR="00115D6C" w:rsidRDefault="00B70EE7">
      <w:pPr>
        <w:pStyle w:val="Heading1"/>
        <w:pBdr>
          <w:bottom w:val="single" w:sz="6" w:space="4" w:color="B99A5B"/>
        </w:pBdr>
        <w:spacing w:before="360" w:after="200"/>
      </w:pPr>
      <w:r>
        <w:rPr>
          <w:rFonts w:ascii="Calibri" w:eastAsia="Calibri" w:hAnsi="Calibri" w:cs="Calibri"/>
          <w:b/>
          <w:bCs/>
          <w:color w:val="1B2A41"/>
        </w:rPr>
        <w:lastRenderedPageBreak/>
        <w:t>Se</w:t>
      </w:r>
      <w:r>
        <w:rPr>
          <w:rFonts w:ascii="Calibri" w:eastAsia="Calibri" w:hAnsi="Calibri" w:cs="Calibri"/>
          <w:b/>
          <w:bCs/>
          <w:color w:val="1B2A41"/>
        </w:rPr>
        <w:t>ction 2: Acceptable Behavior</w:t>
      </w:r>
    </w:p>
    <w:p w:rsidR="00115D6C" w:rsidRDefault="00B70EE7">
      <w:pPr>
        <w:pStyle w:val="Heading2"/>
        <w:spacing w:before="260" w:after="140"/>
      </w:pPr>
      <w:r>
        <w:rPr>
          <w:b/>
          <w:bCs/>
          <w:color w:val="1B2A41"/>
        </w:rPr>
        <w:t>2.1 Encouraged Behavior</w:t>
      </w:r>
    </w:p>
    <w:p w:rsidR="00115D6C" w:rsidRDefault="00B70EE7">
      <w:pPr>
        <w:pStyle w:val="ListParagraph"/>
        <w:numPr>
          <w:ilvl w:val="0"/>
          <w:numId w:val="2"/>
        </w:numPr>
        <w:spacing w:after="100"/>
      </w:pPr>
      <w:r>
        <w:t>Asking genuine questions, even basic ones — no gatekeeping based on skill level.</w:t>
      </w:r>
    </w:p>
    <w:p w:rsidR="00115D6C" w:rsidRDefault="00B70EE7">
      <w:pPr>
        <w:pStyle w:val="ListParagraph"/>
        <w:numPr>
          <w:ilvl w:val="0"/>
          <w:numId w:val="2"/>
        </w:numPr>
        <w:spacing w:after="100"/>
      </w:pPr>
      <w:r>
        <w:t>Giving credit when building on someone else's idea, project, or contribution.</w:t>
      </w:r>
    </w:p>
    <w:p w:rsidR="00115D6C" w:rsidRDefault="00B70EE7">
      <w:pPr>
        <w:pStyle w:val="ListParagraph"/>
        <w:numPr>
          <w:ilvl w:val="0"/>
          <w:numId w:val="2"/>
        </w:numPr>
        <w:spacing w:after="100"/>
      </w:pPr>
      <w:r>
        <w:t>Offering constructive feedback framed around</w:t>
      </w:r>
      <w:r>
        <w:t xml:space="preserve"> the work, not the person.</w:t>
      </w:r>
    </w:p>
    <w:p w:rsidR="00115D6C" w:rsidRDefault="00B70EE7">
      <w:pPr>
        <w:pStyle w:val="ListParagraph"/>
        <w:numPr>
          <w:ilvl w:val="0"/>
          <w:numId w:val="2"/>
        </w:numPr>
        <w:spacing w:after="100"/>
      </w:pPr>
      <w:r>
        <w:t>Helping newer community members get oriented.</w:t>
      </w:r>
    </w:p>
    <w:p w:rsidR="00115D6C" w:rsidRDefault="00B70EE7">
      <w:pPr>
        <w:pStyle w:val="Heading2"/>
        <w:spacing w:before="260" w:after="140"/>
      </w:pPr>
      <w:r>
        <w:rPr>
          <w:b/>
          <w:bCs/>
          <w:color w:val="1B2A41"/>
        </w:rPr>
        <w:t>2.2 Prohibited Behavior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D6C">
        <w:tblPrEx>
          <w:tblCellMar>
            <w:top w:w="0" w:type="dxa"/>
            <w:bottom w:w="0" w:type="dxa"/>
          </w:tblCellMar>
        </w:tblPrEx>
        <w:trPr>
          <w:tblHeader/>
        </w:trPr>
        <w:tc>
          <w:tcPr>
            <w:tcW w:w="4500" w:type="dxa"/>
            <w:shd w:val="clear" w:color="auto" w:fill="1B2A41"/>
            <w:vAlign w:val="center"/>
          </w:tcPr>
          <w:p w:rsidR="00115D6C" w:rsidRDefault="00B70EE7">
            <w:r>
              <w:rPr>
                <w:rFonts w:ascii="Calibri" w:eastAsia="Calibri" w:hAnsi="Calibri" w:cs="Calibri"/>
                <w:b/>
                <w:bCs/>
                <w:color w:val="FFFFFF"/>
                <w:sz w:val="20"/>
                <w:szCs w:val="20"/>
              </w:rPr>
              <w:t>Category</w:t>
            </w:r>
          </w:p>
        </w:tc>
        <w:tc>
          <w:tcPr>
            <w:tcW w:w="4500" w:type="dxa"/>
            <w:shd w:val="clear" w:color="auto" w:fill="1B2A41"/>
            <w:vAlign w:val="center"/>
          </w:tcPr>
          <w:p w:rsidR="00115D6C" w:rsidRDefault="00B70EE7">
            <w:r>
              <w:rPr>
                <w:rFonts w:ascii="Calibri" w:eastAsia="Calibri" w:hAnsi="Calibri" w:cs="Calibri"/>
                <w:b/>
                <w:bCs/>
                <w:color w:val="FFFFFF"/>
                <w:sz w:val="20"/>
                <w:szCs w:val="20"/>
              </w:rPr>
              <w:t>Examples</w:t>
            </w:r>
          </w:p>
        </w:tc>
      </w:tr>
      <w:tr w:rsidR="00115D6C">
        <w:tblPrEx>
          <w:tblCellMar>
            <w:top w:w="0" w:type="dxa"/>
            <w:bottom w:w="0" w:type="dxa"/>
          </w:tblCellMar>
        </w:tblPrEx>
        <w:tc>
          <w:tcPr>
            <w:tcW w:w="4500" w:type="dxa"/>
          </w:tcPr>
          <w:p w:rsidR="00115D6C" w:rsidRDefault="00B70EE7">
            <w:r>
              <w:rPr>
                <w:sz w:val="22"/>
                <w:szCs w:val="22"/>
              </w:rPr>
              <w:t>Harassment</w:t>
            </w:r>
          </w:p>
        </w:tc>
        <w:tc>
          <w:tcPr>
            <w:tcW w:w="4500" w:type="dxa"/>
          </w:tcPr>
          <w:p w:rsidR="00115D6C" w:rsidRDefault="00B70EE7">
            <w:r>
              <w:rPr>
                <w:sz w:val="22"/>
                <w:szCs w:val="22"/>
              </w:rPr>
              <w:t>Personal attacks, threats, unwanted contact, targeted insults</w:t>
            </w:r>
          </w:p>
        </w:tc>
      </w:tr>
      <w:tr w:rsidR="00115D6C">
        <w:tblPrEx>
          <w:tblCellMar>
            <w:top w:w="0" w:type="dxa"/>
            <w:bottom w:w="0" w:type="dxa"/>
          </w:tblCellMar>
        </w:tblPrEx>
        <w:tc>
          <w:tcPr>
            <w:tcW w:w="4500" w:type="dxa"/>
          </w:tcPr>
          <w:p w:rsidR="00115D6C" w:rsidRDefault="00B70EE7">
            <w:r>
              <w:rPr>
                <w:sz w:val="22"/>
                <w:szCs w:val="22"/>
              </w:rPr>
              <w:t>Discrimination</w:t>
            </w:r>
          </w:p>
        </w:tc>
        <w:tc>
          <w:tcPr>
            <w:tcW w:w="4500" w:type="dxa"/>
          </w:tcPr>
          <w:p w:rsidR="00115D6C" w:rsidRDefault="00B70EE7">
            <w:r>
              <w:rPr>
                <w:sz w:val="22"/>
                <w:szCs w:val="22"/>
              </w:rPr>
              <w:t>Hate speech or exclusion based on race, gender, religion, disability, or other identity</w:t>
            </w:r>
          </w:p>
        </w:tc>
      </w:tr>
      <w:tr w:rsidR="00115D6C">
        <w:tblPrEx>
          <w:tblCellMar>
            <w:top w:w="0" w:type="dxa"/>
            <w:bottom w:w="0" w:type="dxa"/>
          </w:tblCellMar>
        </w:tblPrEx>
        <w:tc>
          <w:tcPr>
            <w:tcW w:w="4500" w:type="dxa"/>
          </w:tcPr>
          <w:p w:rsidR="00115D6C" w:rsidRDefault="00B70EE7">
            <w:r>
              <w:rPr>
                <w:sz w:val="22"/>
                <w:szCs w:val="22"/>
              </w:rPr>
              <w:t>Spam / Self-promotion</w:t>
            </w:r>
          </w:p>
        </w:tc>
        <w:tc>
          <w:tcPr>
            <w:tcW w:w="4500" w:type="dxa"/>
          </w:tcPr>
          <w:p w:rsidR="00115D6C" w:rsidRDefault="00B70EE7">
            <w:r>
              <w:rPr>
                <w:sz w:val="22"/>
                <w:szCs w:val="22"/>
              </w:rPr>
              <w:t>Repeated unsolicited advertising unrelated to community discussion</w:t>
            </w:r>
          </w:p>
        </w:tc>
      </w:tr>
      <w:tr w:rsidR="00115D6C">
        <w:tblPrEx>
          <w:tblCellMar>
            <w:top w:w="0" w:type="dxa"/>
            <w:bottom w:w="0" w:type="dxa"/>
          </w:tblCellMar>
        </w:tblPrEx>
        <w:tc>
          <w:tcPr>
            <w:tcW w:w="4500" w:type="dxa"/>
          </w:tcPr>
          <w:p w:rsidR="00115D6C" w:rsidRDefault="00B70EE7">
            <w:r>
              <w:rPr>
                <w:sz w:val="22"/>
                <w:szCs w:val="22"/>
              </w:rPr>
              <w:t>Misinformation</w:t>
            </w:r>
          </w:p>
        </w:tc>
        <w:tc>
          <w:tcPr>
            <w:tcW w:w="4500" w:type="dxa"/>
          </w:tcPr>
          <w:p w:rsidR="00115D6C" w:rsidRDefault="00B70EE7">
            <w:r>
              <w:rPr>
                <w:sz w:val="22"/>
                <w:szCs w:val="22"/>
              </w:rPr>
              <w:t>Deliberately false claims about Horquva, VEGA, or other member</w:t>
            </w:r>
            <w:r>
              <w:rPr>
                <w:sz w:val="22"/>
                <w:szCs w:val="22"/>
              </w:rPr>
              <w:t>s</w:t>
            </w:r>
          </w:p>
        </w:tc>
      </w:tr>
      <w:tr w:rsidR="00115D6C">
        <w:tblPrEx>
          <w:tblCellMar>
            <w:top w:w="0" w:type="dxa"/>
            <w:bottom w:w="0" w:type="dxa"/>
          </w:tblCellMar>
        </w:tblPrEx>
        <w:tc>
          <w:tcPr>
            <w:tcW w:w="4500" w:type="dxa"/>
          </w:tcPr>
          <w:p w:rsidR="00115D6C" w:rsidRDefault="00B70EE7">
            <w:r>
              <w:rPr>
                <w:sz w:val="22"/>
                <w:szCs w:val="22"/>
              </w:rPr>
              <w:t>Impersonation</w:t>
            </w:r>
          </w:p>
        </w:tc>
        <w:tc>
          <w:tcPr>
            <w:tcW w:w="4500" w:type="dxa"/>
          </w:tcPr>
          <w:p w:rsidR="00115D6C" w:rsidRDefault="00B70EE7">
            <w:r>
              <w:rPr>
                <w:sz w:val="22"/>
                <w:szCs w:val="22"/>
              </w:rPr>
              <w:t>Pretending to be a Horquva employee, moderator, or another member</w:t>
            </w:r>
          </w:p>
        </w:tc>
      </w:tr>
      <w:tr w:rsidR="00115D6C">
        <w:tblPrEx>
          <w:tblCellMar>
            <w:top w:w="0" w:type="dxa"/>
            <w:bottom w:w="0" w:type="dxa"/>
          </w:tblCellMar>
        </w:tblPrEx>
        <w:tc>
          <w:tcPr>
            <w:tcW w:w="4500" w:type="dxa"/>
          </w:tcPr>
          <w:p w:rsidR="00115D6C" w:rsidRDefault="00B70EE7">
            <w:r>
              <w:rPr>
                <w:sz w:val="22"/>
                <w:szCs w:val="22"/>
              </w:rPr>
              <w:t>Illegal content</w:t>
            </w:r>
          </w:p>
        </w:tc>
        <w:tc>
          <w:tcPr>
            <w:tcW w:w="4500" w:type="dxa"/>
          </w:tcPr>
          <w:p w:rsidR="00115D6C" w:rsidRDefault="00B70EE7">
            <w:r>
              <w:rPr>
                <w:sz w:val="22"/>
                <w:szCs w:val="22"/>
              </w:rPr>
              <w:t>Sharing or soliciting anything unlawful, including malicious code or pirated material</w:t>
            </w:r>
          </w:p>
        </w:tc>
      </w:tr>
    </w:tbl>
    <w:p w:rsidR="00115D6C" w:rsidRDefault="00115D6C">
      <w:pPr>
        <w:spacing w:after="200"/>
      </w:pPr>
    </w:p>
    <w:p w:rsidR="00115D6C" w:rsidRDefault="00B70EE7">
      <w:pPr>
        <w:pStyle w:val="Heading2"/>
        <w:spacing w:before="260" w:after="140"/>
      </w:pPr>
      <w:r>
        <w:rPr>
          <w:b/>
          <w:bCs/>
          <w:color w:val="1B2A41"/>
        </w:rPr>
        <w:t>2.3 Escalating Situations</w:t>
      </w:r>
    </w:p>
    <w:p w:rsidR="00115D6C" w:rsidRDefault="00B70EE7">
      <w:pPr>
        <w:pStyle w:val="ListParagraph"/>
        <w:numPr>
          <w:ilvl w:val="0"/>
          <w:numId w:val="2"/>
        </w:numPr>
        <w:spacing w:after="100"/>
      </w:pPr>
      <w:r>
        <w:t>Minor first-time issues are typically addr</w:t>
      </w:r>
      <w:r>
        <w:t>essed with a private reminder from a moderator.</w:t>
      </w:r>
    </w:p>
    <w:p w:rsidR="00115D6C" w:rsidRDefault="00B70EE7">
      <w:pPr>
        <w:pStyle w:val="ListParagraph"/>
        <w:numPr>
          <w:ilvl w:val="0"/>
          <w:numId w:val="2"/>
        </w:numPr>
        <w:spacing w:after="100"/>
      </w:pPr>
      <w:r>
        <w:t>Repeated or severe violations move directly to the actions outlined in Section 3.</w:t>
      </w:r>
    </w:p>
    <w:p w:rsidR="00115D6C" w:rsidRDefault="00B70EE7">
      <w:pPr>
        <w:pStyle w:val="Heading1"/>
        <w:pBdr>
          <w:bottom w:val="single" w:sz="6" w:space="4" w:color="B99A5B"/>
        </w:pBdr>
        <w:spacing w:before="360" w:after="200"/>
      </w:pPr>
      <w:r>
        <w:rPr>
          <w:rFonts w:ascii="Calibri" w:eastAsia="Calibri" w:hAnsi="Calibri" w:cs="Calibri"/>
          <w:b/>
          <w:bCs/>
          <w:color w:val="1B2A41"/>
        </w:rPr>
        <w:t>Section 3: Moderation Guidance</w:t>
      </w:r>
    </w:p>
    <w:p w:rsidR="00115D6C" w:rsidRDefault="00B70EE7">
      <w:pPr>
        <w:pStyle w:val="Heading2"/>
        <w:spacing w:before="260" w:after="140"/>
      </w:pPr>
      <w:r>
        <w:rPr>
          <w:b/>
          <w:bCs/>
          <w:color w:val="1B2A41"/>
        </w:rPr>
        <w:t>3.1 Who Moderates</w:t>
      </w:r>
    </w:p>
    <w:p w:rsidR="00115D6C" w:rsidRDefault="00B70EE7">
      <w:pPr>
        <w:spacing w:after="160" w:line="276" w:lineRule="auto"/>
      </w:pPr>
      <w:r>
        <w:t>Community spaces are moderated by designated Community Moderators, appointed and overseen by the Communications Department.</w:t>
      </w:r>
    </w:p>
    <w:p w:rsidR="00115D6C" w:rsidRDefault="00B70EE7">
      <w:pPr>
        <w:pStyle w:val="Heading2"/>
        <w:spacing w:before="260" w:after="140"/>
      </w:pPr>
      <w:r>
        <w:rPr>
          <w:b/>
          <w:bCs/>
          <w:color w:val="1B2A41"/>
        </w:rPr>
        <w:t>3.2 Moderation Principles</w:t>
      </w:r>
    </w:p>
    <w:p w:rsidR="00115D6C" w:rsidRDefault="00B70EE7">
      <w:pPr>
        <w:pStyle w:val="ListParagraph"/>
        <w:numPr>
          <w:ilvl w:val="0"/>
          <w:numId w:val="2"/>
        </w:numPr>
        <w:spacing w:after="100"/>
      </w:pPr>
      <w:r>
        <w:t>Moderation decisions must be applied consistently, regardless of who is involved.</w:t>
      </w:r>
    </w:p>
    <w:p w:rsidR="00115D6C" w:rsidRDefault="00B70EE7">
      <w:pPr>
        <w:pStyle w:val="ListParagraph"/>
        <w:numPr>
          <w:ilvl w:val="0"/>
          <w:numId w:val="2"/>
        </w:numPr>
        <w:spacing w:after="100"/>
      </w:pPr>
      <w:r>
        <w:t>Moderators act on docume</w:t>
      </w:r>
      <w:r>
        <w:t>nted behavior, not assumptions about intent.</w:t>
      </w:r>
    </w:p>
    <w:p w:rsidR="00115D6C" w:rsidRDefault="00B70EE7">
      <w:pPr>
        <w:pStyle w:val="ListParagraph"/>
        <w:numPr>
          <w:ilvl w:val="0"/>
          <w:numId w:val="2"/>
        </w:numPr>
        <w:spacing w:after="100"/>
      </w:pPr>
      <w:r>
        <w:t>Members always have the right to ask a moderator why an action was taken.</w:t>
      </w:r>
    </w:p>
    <w:p w:rsidR="000C0431" w:rsidRDefault="000C0431">
      <w:pPr>
        <w:pStyle w:val="Heading2"/>
        <w:spacing w:before="260" w:after="140"/>
        <w:rPr>
          <w:b/>
          <w:bCs/>
          <w:color w:val="1B2A41"/>
        </w:rPr>
      </w:pPr>
    </w:p>
    <w:p w:rsidR="00115D6C" w:rsidRDefault="00B70EE7">
      <w:pPr>
        <w:pStyle w:val="Heading2"/>
        <w:spacing w:before="260" w:after="140"/>
      </w:pPr>
      <w:r>
        <w:rPr>
          <w:b/>
          <w:bCs/>
          <w:color w:val="1B2A41"/>
        </w:rPr>
        <w:lastRenderedPageBreak/>
        <w:t>3.3 Response 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D6C">
        <w:tblPrEx>
          <w:tblCellMar>
            <w:top w:w="0" w:type="dxa"/>
            <w:bottom w:w="0" w:type="dxa"/>
          </w:tblCellMar>
        </w:tblPrEx>
        <w:trPr>
          <w:tblHeader/>
        </w:trPr>
        <w:tc>
          <w:tcPr>
            <w:tcW w:w="4500" w:type="dxa"/>
            <w:shd w:val="clear" w:color="auto" w:fill="1B2A41"/>
            <w:vAlign w:val="center"/>
          </w:tcPr>
          <w:p w:rsidR="00115D6C" w:rsidRDefault="00B70EE7">
            <w:r>
              <w:rPr>
                <w:rFonts w:ascii="Calibri" w:eastAsia="Calibri" w:hAnsi="Calibri" w:cs="Calibri"/>
                <w:b/>
                <w:bCs/>
                <w:color w:val="FFFFFF"/>
                <w:sz w:val="20"/>
                <w:szCs w:val="20"/>
              </w:rPr>
              <w:t>Severity</w:t>
            </w:r>
          </w:p>
        </w:tc>
        <w:tc>
          <w:tcPr>
            <w:tcW w:w="4500" w:type="dxa"/>
            <w:shd w:val="clear" w:color="auto" w:fill="1B2A41"/>
            <w:vAlign w:val="center"/>
          </w:tcPr>
          <w:p w:rsidR="00115D6C" w:rsidRDefault="00B70EE7">
            <w:r>
              <w:rPr>
                <w:rFonts w:ascii="Calibri" w:eastAsia="Calibri" w:hAnsi="Calibri" w:cs="Calibri"/>
                <w:b/>
                <w:bCs/>
                <w:color w:val="FFFFFF"/>
                <w:sz w:val="20"/>
                <w:szCs w:val="20"/>
              </w:rPr>
              <w:t>Typical Action</w:t>
            </w:r>
          </w:p>
        </w:tc>
      </w:tr>
      <w:tr w:rsidR="00115D6C">
        <w:tblPrEx>
          <w:tblCellMar>
            <w:top w:w="0" w:type="dxa"/>
            <w:bottom w:w="0" w:type="dxa"/>
          </w:tblCellMar>
        </w:tblPrEx>
        <w:tc>
          <w:tcPr>
            <w:tcW w:w="4500" w:type="dxa"/>
            <w:shd w:val="clear" w:color="auto" w:fill="F7F1E6"/>
          </w:tcPr>
          <w:p w:rsidR="00115D6C" w:rsidRDefault="00B70EE7">
            <w:r>
              <w:rPr>
                <w:sz w:val="22"/>
                <w:szCs w:val="22"/>
              </w:rPr>
              <w:t>Minor (first occurrence)</w:t>
            </w:r>
          </w:p>
        </w:tc>
        <w:tc>
          <w:tcPr>
            <w:tcW w:w="4500" w:type="dxa"/>
          </w:tcPr>
          <w:p w:rsidR="00115D6C" w:rsidRDefault="00B70EE7">
            <w:r>
              <w:rPr>
                <w:sz w:val="22"/>
                <w:szCs w:val="22"/>
              </w:rPr>
              <w:t>Private warning / reminder of guidelines</w:t>
            </w:r>
          </w:p>
        </w:tc>
      </w:tr>
      <w:tr w:rsidR="00115D6C">
        <w:tblPrEx>
          <w:tblCellMar>
            <w:top w:w="0" w:type="dxa"/>
            <w:bottom w:w="0" w:type="dxa"/>
          </w:tblCellMar>
        </w:tblPrEx>
        <w:tc>
          <w:tcPr>
            <w:tcW w:w="4500" w:type="dxa"/>
            <w:shd w:val="clear" w:color="auto" w:fill="F7F1E6"/>
          </w:tcPr>
          <w:p w:rsidR="00115D6C" w:rsidRDefault="00B70EE7">
            <w:r>
              <w:rPr>
                <w:sz w:val="22"/>
                <w:szCs w:val="22"/>
              </w:rPr>
              <w:t>Moderate (repeated or clear violation)</w:t>
            </w:r>
          </w:p>
        </w:tc>
        <w:tc>
          <w:tcPr>
            <w:tcW w:w="4500" w:type="dxa"/>
          </w:tcPr>
          <w:p w:rsidR="00115D6C" w:rsidRDefault="00B70EE7">
            <w:r>
              <w:rPr>
                <w:sz w:val="22"/>
                <w:szCs w:val="22"/>
              </w:rPr>
              <w:t>Public warning, content removal, temporary mute</w:t>
            </w:r>
          </w:p>
        </w:tc>
      </w:tr>
      <w:tr w:rsidR="00115D6C">
        <w:tblPrEx>
          <w:tblCellMar>
            <w:top w:w="0" w:type="dxa"/>
            <w:bottom w:w="0" w:type="dxa"/>
          </w:tblCellMar>
        </w:tblPrEx>
        <w:tc>
          <w:tcPr>
            <w:tcW w:w="4500" w:type="dxa"/>
            <w:shd w:val="clear" w:color="auto" w:fill="F7F1E6"/>
          </w:tcPr>
          <w:p w:rsidR="00115D6C" w:rsidRDefault="00B70EE7">
            <w:r>
              <w:rPr>
                <w:sz w:val="22"/>
                <w:szCs w:val="22"/>
              </w:rPr>
              <w:t>Severe (harassment, hate speech, illegal content)</w:t>
            </w:r>
          </w:p>
        </w:tc>
        <w:tc>
          <w:tcPr>
            <w:tcW w:w="4500" w:type="dxa"/>
          </w:tcPr>
          <w:p w:rsidR="00115D6C" w:rsidRDefault="00B70EE7">
            <w:r>
              <w:rPr>
                <w:sz w:val="22"/>
                <w:szCs w:val="22"/>
              </w:rPr>
              <w:t>Immediate removal from the community, no warning required</w:t>
            </w:r>
          </w:p>
        </w:tc>
      </w:tr>
    </w:tbl>
    <w:p w:rsidR="00115D6C" w:rsidRDefault="00115D6C">
      <w:pPr>
        <w:spacing w:after="200"/>
      </w:pPr>
    </w:p>
    <w:p w:rsidR="00115D6C" w:rsidRDefault="00B70EE7">
      <w:pPr>
        <w:pStyle w:val="Heading2"/>
        <w:spacing w:before="260" w:after="140"/>
      </w:pPr>
      <w:r>
        <w:rPr>
          <w:b/>
          <w:bCs/>
          <w:color w:val="1B2A41"/>
        </w:rPr>
        <w:t>3.4 Appeals</w:t>
      </w:r>
    </w:p>
    <w:p w:rsidR="00115D6C" w:rsidRDefault="00B70EE7">
      <w:pPr>
        <w:pStyle w:val="ListParagraph"/>
        <w:numPr>
          <w:ilvl w:val="0"/>
          <w:numId w:val="2"/>
        </w:numPr>
        <w:spacing w:after="100"/>
      </w:pPr>
      <w:r>
        <w:t>Members may appeal a moderation decision by co</w:t>
      </w:r>
      <w:r>
        <w:t>ntacting the Communications Department directly.</w:t>
      </w:r>
    </w:p>
    <w:p w:rsidR="00115D6C" w:rsidRDefault="00B70EE7">
      <w:pPr>
        <w:pStyle w:val="ListParagraph"/>
        <w:numPr>
          <w:ilvl w:val="0"/>
          <w:numId w:val="2"/>
        </w:numPr>
        <w:spacing w:after="100"/>
      </w:pPr>
      <w:r>
        <w:t>Appeals are reviewed by a moderator not involved in the original decision.</w:t>
      </w:r>
    </w:p>
    <w:p w:rsidR="00115D6C" w:rsidRDefault="00B70EE7">
      <w:pPr>
        <w:pStyle w:val="Heading2"/>
        <w:spacing w:before="260" w:after="140"/>
      </w:pPr>
      <w:r>
        <w:rPr>
          <w:b/>
          <w:bCs/>
          <w:color w:val="1B2A41"/>
        </w:rPr>
        <w:t>3.5 Moderator Conduct</w:t>
      </w:r>
    </w:p>
    <w:p w:rsidR="00115D6C" w:rsidRDefault="00B70EE7">
      <w:pPr>
        <w:spacing w:after="160" w:line="276" w:lineRule="auto"/>
      </w:pPr>
      <w:r>
        <w:t>Moderators are held to the same standards as all community members, and are additionally expected to act impar</w:t>
      </w:r>
      <w:r>
        <w:t>tially and avoid using their role for personal disputes.</w:t>
      </w:r>
    </w:p>
    <w:p w:rsidR="00115D6C" w:rsidRDefault="00B70EE7">
      <w:pPr>
        <w:pStyle w:val="Heading1"/>
        <w:pBdr>
          <w:bottom w:val="single" w:sz="6" w:space="4" w:color="B99A5B"/>
        </w:pBdr>
        <w:spacing w:before="360" w:after="200"/>
      </w:pPr>
      <w:r>
        <w:rPr>
          <w:rFonts w:ascii="Calibri" w:eastAsia="Calibri" w:hAnsi="Calibri" w:cs="Calibri"/>
          <w:b/>
          <w:bCs/>
          <w:color w:val="1B2A41"/>
        </w:rPr>
        <w:t>Section 4: Community Governance</w:t>
      </w:r>
    </w:p>
    <w:p w:rsidR="00115D6C" w:rsidRDefault="00B70EE7">
      <w:pPr>
        <w:pStyle w:val="Heading2"/>
        <w:spacing w:before="260" w:after="140"/>
      </w:pPr>
      <w:r>
        <w:rPr>
          <w:b/>
          <w:bCs/>
          <w:color w:val="1B2A41"/>
        </w:rPr>
        <w:t>4.1 Ownership</w:t>
      </w:r>
    </w:p>
    <w:p w:rsidR="00115D6C" w:rsidRDefault="00B70EE7">
      <w:pPr>
        <w:spacing w:after="160" w:line="276" w:lineRule="auto"/>
      </w:pPr>
      <w:r>
        <w:t>The Communications Department owns these Community Guidelines and oversees the moderation team responsible for enforcing them.</w:t>
      </w:r>
    </w:p>
    <w:p w:rsidR="00115D6C" w:rsidRDefault="00B70EE7">
      <w:pPr>
        <w:pStyle w:val="Heading2"/>
        <w:spacing w:before="260" w:after="140"/>
      </w:pPr>
      <w:r>
        <w:rPr>
          <w:b/>
          <w:bCs/>
          <w:color w:val="1B2A41"/>
        </w:rPr>
        <w:t>4.2 Review Cycle</w:t>
      </w:r>
    </w:p>
    <w:p w:rsidR="00115D6C" w:rsidRDefault="00B70EE7">
      <w:pPr>
        <w:spacing w:after="160" w:line="276" w:lineRule="auto"/>
      </w:pPr>
      <w:r>
        <w:t>This document is reviewed every six months, or sooner if community platforms or community size change significantly.</w:t>
      </w:r>
    </w:p>
    <w:p w:rsidR="00115D6C" w:rsidRDefault="00B70EE7">
      <w:pPr>
        <w:pStyle w:val="Heading2"/>
        <w:spacing w:before="260" w:after="140"/>
      </w:pPr>
      <w:r>
        <w:rPr>
          <w:b/>
          <w:bCs/>
          <w:color w:val="1B2A41"/>
        </w:rPr>
        <w:t>4.3 Enforcement</w:t>
      </w:r>
    </w:p>
    <w:p w:rsidR="00115D6C" w:rsidRDefault="00B70EE7">
      <w:pPr>
        <w:spacing w:after="160" w:line="276" w:lineRule="auto"/>
      </w:pPr>
      <w:r>
        <w:t>Violations are addressed according to the response actions in Section 3.3. Decisions are documented internally to ensure co</w:t>
      </w:r>
      <w:r>
        <w:t>nsistency over time.</w:t>
      </w:r>
    </w:p>
    <w:p w:rsidR="00115D6C" w:rsidRDefault="00B70EE7">
      <w:pPr>
        <w:pStyle w:val="Heading2"/>
        <w:spacing w:before="260" w:after="140"/>
      </w:pPr>
      <w:r>
        <w:rPr>
          <w:b/>
          <w:bCs/>
          <w:color w:val="1B2A41"/>
        </w:rPr>
        <w:t>4.4 Feedback &amp; Updates</w:t>
      </w:r>
    </w:p>
    <w:p w:rsidR="00115D6C" w:rsidRDefault="00B70EE7">
      <w:pPr>
        <w:spacing w:after="160" w:line="276" w:lineRule="auto"/>
      </w:pPr>
      <w:r>
        <w:t>Community members may propose changes to these guidelines through the official feedback channel, routed to the Communications Department for quarterly review.</w:t>
      </w:r>
    </w:p>
    <w:p w:rsidR="00115D6C" w:rsidRDefault="00B70EE7">
      <w:pPr>
        <w:pStyle w:val="Heading1"/>
        <w:pageBreakBefore/>
        <w:pBdr>
          <w:bottom w:val="single" w:sz="6" w:space="4" w:color="B99A5B"/>
        </w:pBdr>
        <w:spacing w:before="360" w:after="200"/>
      </w:pPr>
      <w:r>
        <w:rPr>
          <w:rFonts w:ascii="Calibri" w:eastAsia="Calibri" w:hAnsi="Calibri" w:cs="Calibri"/>
          <w:b/>
          <w:bCs/>
          <w:color w:val="1B2A41"/>
        </w:rPr>
        <w:lastRenderedPageBreak/>
        <w:t>Document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115D6C">
        <w:tblPrEx>
          <w:tblCellMar>
            <w:top w:w="0" w:type="dxa"/>
            <w:bottom w:w="0" w:type="dxa"/>
          </w:tblCellMar>
        </w:tblPrEx>
        <w:tc>
          <w:tcPr>
            <w:tcW w:w="3000" w:type="dxa"/>
            <w:shd w:val="clear" w:color="auto" w:fill="EFEFEF"/>
          </w:tcPr>
          <w:p w:rsidR="00115D6C" w:rsidRDefault="00B70EE7">
            <w:r>
              <w:rPr>
                <w:b/>
                <w:bCs/>
                <w:color w:val="1B2A41"/>
                <w:sz w:val="22"/>
                <w:szCs w:val="22"/>
              </w:rPr>
              <w:t>Prepared for</w:t>
            </w:r>
          </w:p>
        </w:tc>
        <w:tc>
          <w:tcPr>
            <w:tcW w:w="6000" w:type="dxa"/>
          </w:tcPr>
          <w:p w:rsidR="00115D6C" w:rsidRDefault="00B70EE7">
            <w:r>
              <w:rPr>
                <w:sz w:val="22"/>
                <w:szCs w:val="22"/>
              </w:rPr>
              <w:t>Horquva – VEGA Ecosystem</w:t>
            </w:r>
          </w:p>
        </w:tc>
      </w:tr>
      <w:tr w:rsidR="00115D6C">
        <w:tblPrEx>
          <w:tblCellMar>
            <w:top w:w="0" w:type="dxa"/>
            <w:bottom w:w="0" w:type="dxa"/>
          </w:tblCellMar>
        </w:tblPrEx>
        <w:tc>
          <w:tcPr>
            <w:tcW w:w="3000" w:type="dxa"/>
            <w:shd w:val="clear" w:color="auto" w:fill="EFEFEF"/>
          </w:tcPr>
          <w:p w:rsidR="00115D6C" w:rsidRDefault="00B70EE7">
            <w:r>
              <w:rPr>
                <w:b/>
                <w:bCs/>
                <w:color w:val="1B2A41"/>
                <w:sz w:val="22"/>
                <w:szCs w:val="22"/>
              </w:rPr>
              <w:t>Department</w:t>
            </w:r>
          </w:p>
        </w:tc>
        <w:tc>
          <w:tcPr>
            <w:tcW w:w="6000" w:type="dxa"/>
          </w:tcPr>
          <w:p w:rsidR="00115D6C" w:rsidRDefault="00B70EE7">
            <w:r>
              <w:rPr>
                <w:sz w:val="22"/>
                <w:szCs w:val="22"/>
              </w:rPr>
              <w:t>Communications Department</w:t>
            </w:r>
          </w:p>
        </w:tc>
      </w:tr>
      <w:tr w:rsidR="00115D6C">
        <w:tblPrEx>
          <w:tblCellMar>
            <w:top w:w="0" w:type="dxa"/>
            <w:bottom w:w="0" w:type="dxa"/>
          </w:tblCellMar>
        </w:tblPrEx>
        <w:tc>
          <w:tcPr>
            <w:tcW w:w="3000" w:type="dxa"/>
            <w:shd w:val="clear" w:color="auto" w:fill="EFEFEF"/>
          </w:tcPr>
          <w:p w:rsidR="00115D6C" w:rsidRDefault="00B70EE7">
            <w:r>
              <w:rPr>
                <w:b/>
                <w:bCs/>
                <w:color w:val="1B2A41"/>
                <w:sz w:val="22"/>
                <w:szCs w:val="22"/>
              </w:rPr>
              <w:t>Version</w:t>
            </w:r>
          </w:p>
        </w:tc>
        <w:tc>
          <w:tcPr>
            <w:tcW w:w="6000" w:type="dxa"/>
          </w:tcPr>
          <w:p w:rsidR="00115D6C" w:rsidRDefault="00B70EE7">
            <w:r>
              <w:rPr>
                <w:sz w:val="22"/>
                <w:szCs w:val="22"/>
              </w:rPr>
              <w:t>1.0</w:t>
            </w:r>
          </w:p>
        </w:tc>
      </w:tr>
      <w:tr w:rsidR="00115D6C">
        <w:tblPrEx>
          <w:tblCellMar>
            <w:top w:w="0" w:type="dxa"/>
            <w:bottom w:w="0" w:type="dxa"/>
          </w:tblCellMar>
        </w:tblPrEx>
        <w:tc>
          <w:tcPr>
            <w:tcW w:w="3000" w:type="dxa"/>
            <w:shd w:val="clear" w:color="auto" w:fill="EFEFEF"/>
          </w:tcPr>
          <w:p w:rsidR="00115D6C" w:rsidRDefault="00B70EE7">
            <w:r>
              <w:rPr>
                <w:b/>
                <w:bCs/>
                <w:color w:val="1B2A41"/>
                <w:sz w:val="22"/>
                <w:szCs w:val="22"/>
              </w:rPr>
              <w:t>Date</w:t>
            </w:r>
          </w:p>
        </w:tc>
        <w:tc>
          <w:tcPr>
            <w:tcW w:w="6000" w:type="dxa"/>
          </w:tcPr>
          <w:p w:rsidR="00115D6C" w:rsidRDefault="00B70EE7">
            <w:r>
              <w:rPr>
                <w:sz w:val="22"/>
                <w:szCs w:val="22"/>
              </w:rPr>
              <w:t>August 7, 2026</w:t>
            </w:r>
          </w:p>
        </w:tc>
      </w:tr>
    </w:tbl>
    <w:p w:rsidR="00B70EE7" w:rsidRDefault="00B70EE7">
      <w:bookmarkStart w:id="0" w:name="_GoBack"/>
      <w:bookmarkEnd w:id="0"/>
    </w:p>
    <w:sectPr w:rsidR="00B70EE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EE7" w:rsidRDefault="00B70EE7">
      <w:r>
        <w:separator/>
      </w:r>
    </w:p>
  </w:endnote>
  <w:endnote w:type="continuationSeparator" w:id="0">
    <w:p w:rsidR="00B70EE7" w:rsidRDefault="00B70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115D6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115D6C"/>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B70EE7">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sidR="000C0431">
      <w:rPr>
        <w:rFonts w:ascii="Calibri" w:eastAsia="Calibri" w:hAnsi="Calibri" w:cs="Calibri"/>
        <w:color w:val="6E6E6E"/>
        <w:sz w:val="16"/>
        <w:szCs w:val="16"/>
      </w:rPr>
      <w:fldChar w:fldCharType="separate"/>
    </w:r>
    <w:r w:rsidR="000C0431">
      <w:rPr>
        <w:rFonts w:ascii="Calibri" w:eastAsia="Calibri" w:hAnsi="Calibri" w:cs="Calibri"/>
        <w:noProof/>
        <w:color w:val="6E6E6E"/>
        <w:sz w:val="16"/>
        <w:szCs w:val="16"/>
      </w:rPr>
      <w:t>4</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sidR="000C0431">
      <w:rPr>
        <w:rFonts w:ascii="Calibri" w:eastAsia="Calibri" w:hAnsi="Calibri" w:cs="Calibri"/>
        <w:color w:val="6E6E6E"/>
        <w:sz w:val="16"/>
        <w:szCs w:val="16"/>
      </w:rPr>
      <w:fldChar w:fldCharType="separate"/>
    </w:r>
    <w:r w:rsidR="000C0431">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EE7" w:rsidRDefault="00B70EE7">
      <w:r>
        <w:separator/>
      </w:r>
    </w:p>
  </w:footnote>
  <w:footnote w:type="continuationSeparator" w:id="0">
    <w:p w:rsidR="00B70EE7" w:rsidRDefault="00B70E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115D6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115D6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6C" w:rsidRDefault="00B70EE7">
    <w:pPr>
      <w:pBdr>
        <w:bottom w:val="single" w:sz="4" w:space="4" w:color="BBBBBB"/>
      </w:pBdr>
      <w:tabs>
        <w:tab w:val="right" w:pos="9026"/>
      </w:tabs>
    </w:pPr>
    <w:r>
      <w:rPr>
        <w:rFonts w:ascii="Calibri" w:eastAsia="Calibri" w:hAnsi="Calibri" w:cs="Calibri"/>
        <w:caps/>
        <w:color w:val="6E6E6E"/>
        <w:sz w:val="16"/>
        <w:szCs w:val="16"/>
      </w:rPr>
      <w:t>HORQUVA®   |   VEGA COMMUNITY GUIDELINES — Volume IV</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7565B"/>
    <w:multiLevelType w:val="hybridMultilevel"/>
    <w:tmpl w:val="7478BFA8"/>
    <w:lvl w:ilvl="0" w:tplc="12D278B2">
      <w:start w:val="1"/>
      <w:numFmt w:val="bullet"/>
      <w:lvlText w:val="●"/>
      <w:lvlJc w:val="left"/>
      <w:pPr>
        <w:ind w:left="720" w:hanging="360"/>
      </w:pPr>
    </w:lvl>
    <w:lvl w:ilvl="1" w:tplc="A4AAAD8E">
      <w:start w:val="1"/>
      <w:numFmt w:val="bullet"/>
      <w:lvlText w:val="○"/>
      <w:lvlJc w:val="left"/>
      <w:pPr>
        <w:ind w:left="1440" w:hanging="360"/>
      </w:pPr>
    </w:lvl>
    <w:lvl w:ilvl="2" w:tplc="B4722D2E">
      <w:start w:val="1"/>
      <w:numFmt w:val="bullet"/>
      <w:lvlText w:val="■"/>
      <w:lvlJc w:val="left"/>
      <w:pPr>
        <w:ind w:left="2160" w:hanging="360"/>
      </w:pPr>
    </w:lvl>
    <w:lvl w:ilvl="3" w:tplc="8FE6FE58">
      <w:start w:val="1"/>
      <w:numFmt w:val="bullet"/>
      <w:lvlText w:val="●"/>
      <w:lvlJc w:val="left"/>
      <w:pPr>
        <w:ind w:left="2880" w:hanging="360"/>
      </w:pPr>
    </w:lvl>
    <w:lvl w:ilvl="4" w:tplc="232472AA">
      <w:start w:val="1"/>
      <w:numFmt w:val="bullet"/>
      <w:lvlText w:val="○"/>
      <w:lvlJc w:val="left"/>
      <w:pPr>
        <w:ind w:left="3600" w:hanging="360"/>
      </w:pPr>
    </w:lvl>
    <w:lvl w:ilvl="5" w:tplc="5274A760">
      <w:start w:val="1"/>
      <w:numFmt w:val="bullet"/>
      <w:lvlText w:val="■"/>
      <w:lvlJc w:val="left"/>
      <w:pPr>
        <w:ind w:left="4320" w:hanging="360"/>
      </w:pPr>
    </w:lvl>
    <w:lvl w:ilvl="6" w:tplc="83140E66">
      <w:start w:val="1"/>
      <w:numFmt w:val="bullet"/>
      <w:lvlText w:val="●"/>
      <w:lvlJc w:val="left"/>
      <w:pPr>
        <w:ind w:left="5040" w:hanging="360"/>
      </w:pPr>
    </w:lvl>
    <w:lvl w:ilvl="7" w:tplc="D94AA5C0">
      <w:start w:val="1"/>
      <w:numFmt w:val="bullet"/>
      <w:lvlText w:val="●"/>
      <w:lvlJc w:val="left"/>
      <w:pPr>
        <w:ind w:left="5760" w:hanging="360"/>
      </w:pPr>
    </w:lvl>
    <w:lvl w:ilvl="8" w:tplc="690428F4">
      <w:start w:val="1"/>
      <w:numFmt w:val="bullet"/>
      <w:lvlText w:val="●"/>
      <w:lvlJc w:val="left"/>
      <w:pPr>
        <w:ind w:left="6480" w:hanging="360"/>
      </w:pPr>
    </w:lvl>
  </w:abstractNum>
  <w:abstractNum w:abstractNumId="1" w15:restartNumberingAfterBreak="0">
    <w:nsid w:val="2EAE7D83"/>
    <w:multiLevelType w:val="hybridMultilevel"/>
    <w:tmpl w:val="DC3C646E"/>
    <w:lvl w:ilvl="0" w:tplc="28EC3A5E">
      <w:start w:val="1"/>
      <w:numFmt w:val="bullet"/>
      <w:lvlText w:val="•"/>
      <w:lvlJc w:val="left"/>
      <w:pPr>
        <w:ind w:left="520" w:hanging="260"/>
      </w:pPr>
    </w:lvl>
    <w:lvl w:ilvl="1" w:tplc="ADA4DD26">
      <w:numFmt w:val="decimal"/>
      <w:lvlText w:val=""/>
      <w:lvlJc w:val="left"/>
    </w:lvl>
    <w:lvl w:ilvl="2" w:tplc="7C52FA8A">
      <w:numFmt w:val="decimal"/>
      <w:lvlText w:val=""/>
      <w:lvlJc w:val="left"/>
    </w:lvl>
    <w:lvl w:ilvl="3" w:tplc="09F20884">
      <w:numFmt w:val="decimal"/>
      <w:lvlText w:val=""/>
      <w:lvlJc w:val="left"/>
    </w:lvl>
    <w:lvl w:ilvl="4" w:tplc="E9840C3C">
      <w:numFmt w:val="decimal"/>
      <w:lvlText w:val=""/>
      <w:lvlJc w:val="left"/>
    </w:lvl>
    <w:lvl w:ilvl="5" w:tplc="A386C2BA">
      <w:numFmt w:val="decimal"/>
      <w:lvlText w:val=""/>
      <w:lvlJc w:val="left"/>
    </w:lvl>
    <w:lvl w:ilvl="6" w:tplc="1236F2BC">
      <w:numFmt w:val="decimal"/>
      <w:lvlText w:val=""/>
      <w:lvlJc w:val="left"/>
    </w:lvl>
    <w:lvl w:ilvl="7" w:tplc="B3E86E20">
      <w:numFmt w:val="decimal"/>
      <w:lvlText w:val=""/>
      <w:lvlJc w:val="left"/>
    </w:lvl>
    <w:lvl w:ilvl="8" w:tplc="542A37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6C"/>
    <w:rsid w:val="000C0431"/>
    <w:rsid w:val="00115D6C"/>
    <w:rsid w:val="00B70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F0EA"/>
  <w15:docId w15:val="{15792020-A627-4BCF-A561-31A778A7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2026-08-07T08:54:00Z</dcterms:created>
  <dcterms:modified xsi:type="dcterms:W3CDTF">2026-08-14T10:43:00Z</dcterms:modified>
</cp:coreProperties>
</file>