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FF7" w:rsidRDefault="00612CB6">
      <w:pPr>
        <w:spacing w:after="400"/>
        <w:jc w:val="center"/>
      </w:pPr>
      <w:r>
        <w:rPr>
          <w:rFonts w:ascii="Calibri" w:eastAsia="Calibri" w:hAnsi="Calibri" w:cs="Calibri"/>
          <w:color w:val="6E6E6E"/>
          <w:sz w:val="18"/>
          <w:szCs w:val="18"/>
        </w:rPr>
        <w:t>HORQUVA®   |   VEGA PUBLISHING WORKFLOWS — Volume V</w:t>
      </w:r>
    </w:p>
    <w:p w:rsidR="00C47FF7" w:rsidRDefault="00C47FF7">
      <w:pPr>
        <w:pBdr>
          <w:bottom w:val="single" w:sz="4" w:space="1" w:color="D8C8AE"/>
        </w:pBdr>
        <w:spacing w:after="700"/>
      </w:pPr>
    </w:p>
    <w:p w:rsidR="00C47FF7" w:rsidRDefault="00612CB6">
      <w:pPr>
        <w:spacing w:after="200"/>
        <w:jc w:val="center"/>
      </w:pPr>
      <w:r>
        <w:rPr>
          <w:rFonts w:ascii="Calibri" w:eastAsia="Calibri" w:hAnsi="Calibri" w:cs="Calibri"/>
          <w:b/>
          <w:bCs/>
          <w:color w:val="1B2A41"/>
          <w:sz w:val="56"/>
          <w:szCs w:val="56"/>
        </w:rPr>
        <w:t>H O R Q U V A ®</w:t>
      </w:r>
    </w:p>
    <w:p w:rsidR="00C47FF7" w:rsidRDefault="00612CB6">
      <w:pPr>
        <w:spacing w:after="60"/>
        <w:jc w:val="center"/>
      </w:pPr>
      <w:r>
        <w:rPr>
          <w:rFonts w:ascii="Calibri" w:eastAsia="Calibri" w:hAnsi="Calibri" w:cs="Calibri"/>
          <w:color w:val="B99A5B"/>
          <w:spacing w:val="20"/>
          <w:sz w:val="26"/>
          <w:szCs w:val="26"/>
        </w:rPr>
        <w:t>PUBLISHING WORKFLOW GUIDEBOOK</w:t>
      </w:r>
    </w:p>
    <w:p w:rsidR="00C47FF7" w:rsidRDefault="00612CB6">
      <w:pPr>
        <w:spacing w:after="400"/>
        <w:jc w:val="center"/>
      </w:pPr>
      <w:r>
        <w:rPr>
          <w:rFonts w:ascii="Calibri" w:eastAsia="Calibri" w:hAnsi="Calibri" w:cs="Calibri"/>
          <w:b/>
          <w:bCs/>
          <w:color w:val="1B2A41"/>
          <w:sz w:val="32"/>
          <w:szCs w:val="32"/>
        </w:rPr>
        <w:t>Volume V</w:t>
      </w:r>
    </w:p>
    <w:p w:rsidR="00C47FF7" w:rsidRDefault="00C47FF7">
      <w:pPr>
        <w:pBdr>
          <w:top w:val="single" w:sz="6" w:space="4" w:color="B99A5B"/>
        </w:pBdr>
        <w:spacing w:after="300"/>
        <w:jc w:val="center"/>
      </w:pPr>
    </w:p>
    <w:p w:rsidR="00C47FF7" w:rsidRDefault="00612CB6">
      <w:pPr>
        <w:spacing w:after="300"/>
        <w:jc w:val="center"/>
      </w:pPr>
      <w:r>
        <w:rPr>
          <w:rFonts w:ascii="Calibri" w:eastAsia="Calibri" w:hAnsi="Calibri" w:cs="Calibri"/>
          <w:b/>
          <w:bCs/>
          <w:color w:val="1B2A41"/>
          <w:sz w:val="30"/>
          <w:szCs w:val="30"/>
        </w:rPr>
        <w:t>THE VEGA PUBLISHING WORKFLOWS</w:t>
      </w:r>
    </w:p>
    <w:p w:rsidR="00C47FF7" w:rsidRDefault="00C47FF7">
      <w:pPr>
        <w:pBdr>
          <w:bottom w:val="single" w:sz="6" w:space="4" w:color="B99A5B"/>
        </w:pBdr>
        <w:spacing w:after="500"/>
        <w:jc w:val="center"/>
      </w:pPr>
    </w:p>
    <w:p w:rsidR="00C47FF7" w:rsidRDefault="00612CB6">
      <w:pPr>
        <w:spacing w:after="700"/>
        <w:jc w:val="center"/>
      </w:pPr>
      <w:r>
        <w:rPr>
          <w:i/>
          <w:iCs/>
          <w:color w:val="333333"/>
        </w:rPr>
        <w:t xml:space="preserve">The Lifecycle, Approvals, and Responsibilities That Move Content </w:t>
      </w:r>
      <w:proofErr w:type="gramStart"/>
      <w:r>
        <w:rPr>
          <w:i/>
          <w:iCs/>
          <w:color w:val="333333"/>
        </w:rPr>
        <w:t>From</w:t>
      </w:r>
      <w:proofErr w:type="gramEnd"/>
      <w:r>
        <w:rPr>
          <w:i/>
          <w:iCs/>
          <w:color w:val="333333"/>
        </w:rPr>
        <w:t xml:space="preserve"> Draft to Live</w:t>
      </w:r>
    </w:p>
    <w:p w:rsidR="00C47FF7" w:rsidRDefault="00612CB6">
      <w:pPr>
        <w:spacing w:after="40"/>
        <w:jc w:val="center"/>
      </w:pPr>
      <w:r>
        <w:rPr>
          <w:color w:val="6E6E6E"/>
          <w:sz w:val="22"/>
          <w:szCs w:val="22"/>
        </w:rPr>
        <w:t>Issued by</w:t>
      </w:r>
    </w:p>
    <w:p w:rsidR="00C47FF7" w:rsidRDefault="00612CB6">
      <w:pPr>
        <w:spacing w:after="700"/>
        <w:jc w:val="center"/>
      </w:pPr>
      <w:r>
        <w:rPr>
          <w:b/>
          <w:bCs/>
          <w:color w:val="1B2A41"/>
          <w:sz w:val="26"/>
          <w:szCs w:val="26"/>
        </w:rPr>
        <w:t>Horquva Communications Department</w:t>
      </w:r>
    </w:p>
    <w:p w:rsidR="00C47FF7" w:rsidRDefault="00612CB6">
      <w:pPr>
        <w:spacing w:after="40"/>
        <w:jc w:val="center"/>
      </w:pPr>
      <w:r>
        <w:rPr>
          <w:rFonts w:ascii="Calibri" w:eastAsia="Calibri" w:hAnsi="Calibri" w:cs="Calibri"/>
          <w:b/>
          <w:bCs/>
          <w:color w:val="1B2A41"/>
          <w:sz w:val="20"/>
          <w:szCs w:val="20"/>
        </w:rPr>
        <w:t>CONFIDENTIAL &amp; PROPRIETARY</w:t>
      </w:r>
    </w:p>
    <w:p w:rsidR="00C47FF7" w:rsidRDefault="00612CB6">
      <w:pPr>
        <w:spacing w:after="40"/>
        <w:jc w:val="center"/>
      </w:pPr>
      <w:r>
        <w:rPr>
          <w:i/>
          <w:iCs/>
          <w:color w:val="6E6E6E"/>
          <w:sz w:val="20"/>
          <w:szCs w:val="20"/>
        </w:rPr>
        <w:t>Internal Communications Documentation</w:t>
      </w:r>
    </w:p>
    <w:p w:rsidR="00C47FF7" w:rsidRDefault="00612CB6">
      <w:pPr>
        <w:spacing w:after="700"/>
        <w:jc w:val="center"/>
      </w:pPr>
      <w:r>
        <w:rPr>
          <w:color w:val="6E6E6E"/>
          <w:sz w:val="20"/>
          <w:szCs w:val="20"/>
        </w:rPr>
        <w:t>Version 1.0</w:t>
      </w:r>
    </w:p>
    <w:p w:rsidR="00C47FF7" w:rsidRDefault="00612CB6">
      <w:pPr>
        <w:jc w:val="center"/>
      </w:pPr>
      <w:r>
        <w:rPr>
          <w:color w:val="6E6E6E"/>
          <w:sz w:val="18"/>
          <w:szCs w:val="18"/>
        </w:rPr>
        <w:t>© Horquva Technologies. All Rights Reserved.</w:t>
      </w:r>
    </w:p>
    <w:p w:rsidR="00C47FF7" w:rsidRDefault="00612CB6">
      <w:r>
        <w:br w:type="page"/>
      </w:r>
    </w:p>
    <w:p w:rsidR="00C47FF7" w:rsidRDefault="00C47FF7">
      <w:pPr>
        <w:sectPr w:rsidR="00C47FF7">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rsidR="00C47FF7" w:rsidRDefault="00612CB6">
      <w:pPr>
        <w:pStyle w:val="Heading1"/>
        <w:pBdr>
          <w:bottom w:val="single" w:sz="6" w:space="4" w:color="B99A5B"/>
        </w:pBdr>
        <w:spacing w:after="240"/>
      </w:pPr>
      <w:r>
        <w:rPr>
          <w:rFonts w:ascii="Calibri" w:eastAsia="Calibri" w:hAnsi="Calibri" w:cs="Calibri"/>
          <w:b/>
          <w:bCs/>
          <w:color w:val="1B2A41"/>
        </w:rPr>
        <w:lastRenderedPageBreak/>
        <w:t>A Message from the Communications Department</w:t>
      </w:r>
    </w:p>
    <w:p w:rsidR="00C47FF7" w:rsidRDefault="00612CB6">
      <w:pPr>
        <w:spacing w:after="160" w:line="276" w:lineRule="auto"/>
      </w:pPr>
      <w:r>
        <w:t>Dear Team,</w:t>
      </w:r>
    </w:p>
    <w:p w:rsidR="00C47FF7" w:rsidRDefault="00612CB6">
      <w:pPr>
        <w:spacing w:after="160" w:line="276" w:lineRule="auto"/>
      </w:pPr>
      <w:r>
        <w:t>Every piece of content Horquva publishes passes through several hands before it reaches its audience — a writer, a reviewer, an approver, and often a publisher who are not the same person. When that handoff isn't clearly defined, work stalls, ownership gets confused, and deadlines slip for reasons that have nothing to do with the quality of the work itself.</w:t>
      </w:r>
    </w:p>
    <w:p w:rsidR="00C47FF7" w:rsidRDefault="00612CB6">
      <w:pPr>
        <w:spacing w:after="160" w:line="276" w:lineRule="auto"/>
      </w:pPr>
      <w:r>
        <w:t>This guide documents the complete publishing lifecycle, end to end, so that everyone involved, regardless of team or role, knows exactly what stage a piece of content is in, who owns it at that stage, and what needs to happen next.</w:t>
      </w:r>
    </w:p>
    <w:p w:rsidR="00C47FF7" w:rsidRDefault="00612CB6">
      <w:pPr>
        <w:spacing w:after="160" w:line="276" w:lineRule="auto"/>
      </w:pPr>
      <w:r>
        <w:t>Sincerely,</w:t>
      </w:r>
    </w:p>
    <w:p w:rsidR="00C47FF7" w:rsidRDefault="00612CB6">
      <w:pPr>
        <w:spacing w:after="160"/>
      </w:pPr>
      <w:r>
        <w:rPr>
          <w:b/>
          <w:bCs/>
          <w:color w:val="1B2A41"/>
        </w:rPr>
        <w:t>Horquva Communications Department</w:t>
      </w:r>
    </w:p>
    <w:p w:rsidR="00C47FF7" w:rsidRDefault="00612CB6">
      <w:r>
        <w:br w:type="page"/>
      </w:r>
    </w:p>
    <w:p w:rsidR="00C47FF7" w:rsidRDefault="00612CB6">
      <w:pPr>
        <w:pStyle w:val="Heading1"/>
        <w:pBdr>
          <w:bottom w:val="single" w:sz="6" w:space="4" w:color="B99A5B"/>
        </w:pBdr>
        <w:spacing w:after="240"/>
      </w:pPr>
      <w:r>
        <w:rPr>
          <w:rFonts w:ascii="Calibri" w:eastAsia="Calibri" w:hAnsi="Calibri" w:cs="Calibri"/>
          <w:b/>
          <w:bCs/>
          <w:color w:val="1B2A41"/>
        </w:rPr>
        <w:lastRenderedPageBreak/>
        <w:t>Table of Contents</w:t>
      </w:r>
    </w:p>
    <w:p w:rsidR="00C47FF7" w:rsidRDefault="00612CB6">
      <w:pPr>
        <w:tabs>
          <w:tab w:val="right" w:leader="dot" w:pos="9026"/>
        </w:tabs>
        <w:spacing w:after="160"/>
      </w:pPr>
      <w:r>
        <w:rPr>
          <w:color w:val="1B2A41"/>
        </w:rPr>
        <w:t>A Message from the Communications Department</w:t>
      </w:r>
      <w:r>
        <w:rPr>
          <w:color w:val="1B2A41"/>
        </w:rPr>
        <w:tab/>
        <w:t>2</w:t>
      </w:r>
    </w:p>
    <w:p w:rsidR="00C47FF7" w:rsidRDefault="00612CB6">
      <w:pPr>
        <w:tabs>
          <w:tab w:val="right" w:leader="dot" w:pos="9026"/>
        </w:tabs>
        <w:spacing w:after="160"/>
      </w:pPr>
      <w:r>
        <w:rPr>
          <w:color w:val="1B2A41"/>
        </w:rPr>
        <w:t>Purpose</w:t>
      </w:r>
      <w:r>
        <w:rPr>
          <w:color w:val="1B2A41"/>
        </w:rPr>
        <w:tab/>
        <w:t>4</w:t>
      </w:r>
    </w:p>
    <w:p w:rsidR="00C47FF7" w:rsidRDefault="00612CB6">
      <w:pPr>
        <w:tabs>
          <w:tab w:val="right" w:leader="dot" w:pos="9026"/>
        </w:tabs>
        <w:spacing w:after="160"/>
      </w:pPr>
      <w:r>
        <w:rPr>
          <w:color w:val="1B2A41"/>
        </w:rPr>
        <w:t>Why It Matters</w:t>
      </w:r>
      <w:r>
        <w:rPr>
          <w:color w:val="1B2A41"/>
        </w:rPr>
        <w:tab/>
        <w:t>4</w:t>
      </w:r>
    </w:p>
    <w:p w:rsidR="00C47FF7" w:rsidRDefault="00612CB6">
      <w:pPr>
        <w:tabs>
          <w:tab w:val="right" w:leader="dot" w:pos="9026"/>
        </w:tabs>
        <w:spacing w:after="160"/>
      </w:pPr>
      <w:r>
        <w:rPr>
          <w:color w:val="1B2A41"/>
        </w:rPr>
        <w:t>Section 1: Publishing Stages</w:t>
      </w:r>
      <w:r>
        <w:rPr>
          <w:color w:val="1B2A41"/>
        </w:rPr>
        <w:tab/>
        <w:t>4</w:t>
      </w:r>
    </w:p>
    <w:p w:rsidR="00C47FF7" w:rsidRDefault="00612CB6">
      <w:pPr>
        <w:tabs>
          <w:tab w:val="right" w:leader="dot" w:pos="9026"/>
        </w:tabs>
        <w:spacing w:after="160"/>
      </w:pPr>
      <w:r>
        <w:rPr>
          <w:color w:val="1B2A41"/>
        </w:rPr>
        <w:t>Section 2: Approval Process</w:t>
      </w:r>
      <w:r>
        <w:rPr>
          <w:color w:val="1B2A41"/>
        </w:rPr>
        <w:tab/>
        <w:t>5</w:t>
      </w:r>
    </w:p>
    <w:p w:rsidR="00C47FF7" w:rsidRDefault="00612CB6">
      <w:pPr>
        <w:tabs>
          <w:tab w:val="right" w:leader="dot" w:pos="9026"/>
        </w:tabs>
        <w:spacing w:after="160"/>
      </w:pPr>
      <w:r>
        <w:rPr>
          <w:color w:val="1B2A41"/>
        </w:rPr>
        <w:t>Section 3: Publishing Responsibilities</w:t>
      </w:r>
      <w:r>
        <w:rPr>
          <w:color w:val="1B2A41"/>
        </w:rPr>
        <w:tab/>
        <w:t>5</w:t>
      </w:r>
    </w:p>
    <w:p w:rsidR="00C47FF7" w:rsidRDefault="00612CB6">
      <w:pPr>
        <w:tabs>
          <w:tab w:val="right" w:leader="dot" w:pos="9026"/>
        </w:tabs>
        <w:spacing w:after="160"/>
      </w:pPr>
      <w:r>
        <w:rPr>
          <w:color w:val="1B2A41"/>
        </w:rPr>
        <w:t>Section 4: Workflow Governance</w:t>
      </w:r>
      <w:r>
        <w:rPr>
          <w:color w:val="1B2A41"/>
        </w:rPr>
        <w:tab/>
        <w:t>6</w:t>
      </w:r>
    </w:p>
    <w:p w:rsidR="00C47FF7" w:rsidRDefault="00612CB6">
      <w:pPr>
        <w:tabs>
          <w:tab w:val="right" w:leader="dot" w:pos="9026"/>
        </w:tabs>
        <w:spacing w:after="160"/>
      </w:pPr>
      <w:r>
        <w:rPr>
          <w:color w:val="1B2A41"/>
        </w:rPr>
        <w:t>Document Control</w:t>
      </w:r>
      <w:r>
        <w:rPr>
          <w:color w:val="1B2A41"/>
        </w:rPr>
        <w:tab/>
        <w:t>7</w:t>
      </w:r>
    </w:p>
    <w:p w:rsidR="00C47FF7" w:rsidRDefault="00612CB6">
      <w:r>
        <w:br w:type="page"/>
      </w:r>
    </w:p>
    <w:p w:rsidR="00C47FF7" w:rsidRDefault="00612CB6">
      <w:pPr>
        <w:pStyle w:val="Heading1"/>
        <w:pBdr>
          <w:bottom w:val="single" w:sz="6" w:space="4" w:color="B99A5B"/>
        </w:pBdr>
        <w:spacing w:before="360" w:after="200"/>
      </w:pPr>
      <w:r>
        <w:rPr>
          <w:rFonts w:ascii="Calibri" w:eastAsia="Calibri" w:hAnsi="Calibri" w:cs="Calibri"/>
          <w:b/>
          <w:bCs/>
          <w:color w:val="1B2A41"/>
        </w:rPr>
        <w:lastRenderedPageBreak/>
        <w:t>Purpose</w:t>
      </w:r>
    </w:p>
    <w:p w:rsidR="00C47FF7" w:rsidRDefault="00612CB6">
      <w:pPr>
        <w:spacing w:after="160" w:line="276" w:lineRule="auto"/>
      </w:pPr>
      <w:r>
        <w:t>This document defines the complete publishing lifecycle across Horquva, from initial content creation through to final publication, for all communication produced on behalf of the VEGA ecosystem.</w:t>
      </w:r>
    </w:p>
    <w:p w:rsidR="00C47FF7" w:rsidRDefault="00612CB6">
      <w:pPr>
        <w:pStyle w:val="Heading1"/>
        <w:pBdr>
          <w:bottom w:val="single" w:sz="6" w:space="4" w:color="B99A5B"/>
        </w:pBdr>
        <w:spacing w:before="360" w:after="200"/>
      </w:pPr>
      <w:r>
        <w:rPr>
          <w:rFonts w:ascii="Calibri" w:eastAsia="Calibri" w:hAnsi="Calibri" w:cs="Calibri"/>
          <w:b/>
          <w:bCs/>
          <w:color w:val="1B2A41"/>
        </w:rPr>
        <w:t>Why It Matters</w:t>
      </w:r>
    </w:p>
    <w:p w:rsidR="00C47FF7" w:rsidRDefault="00612CB6">
      <w:pPr>
        <w:spacing w:after="160" w:line="276" w:lineRule="auto"/>
      </w:pPr>
      <w:r>
        <w:t>Publishing workflows improve coordination, reduce delays, and ensure every communication follows the same approval process. Without a documented workflow, handoffs between writers, reviewers, and approvers become inconsistent, causing avoidable delays and unclear ownership. This guide exists to make the entire lifecycle visible and predictable for everyone involved.</w:t>
      </w:r>
    </w:p>
    <w:p w:rsidR="00C47FF7" w:rsidRDefault="00612CB6">
      <w:pPr>
        <w:pStyle w:val="Heading1"/>
        <w:pBdr>
          <w:bottom w:val="single" w:sz="6" w:space="4" w:color="B99A5B"/>
        </w:pBdr>
        <w:spacing w:before="360" w:after="200"/>
      </w:pPr>
      <w:r>
        <w:rPr>
          <w:rFonts w:ascii="Calibri" w:eastAsia="Calibri" w:hAnsi="Calibri" w:cs="Calibri"/>
          <w:b/>
          <w:bCs/>
          <w:color w:val="1B2A41"/>
        </w:rPr>
        <w:t>Section 1: Publishing Stages</w:t>
      </w:r>
    </w:p>
    <w:p w:rsidR="00C47FF7" w:rsidRDefault="00612CB6">
      <w:pPr>
        <w:spacing w:after="160" w:line="276" w:lineRule="auto"/>
      </w:pPr>
      <w:r>
        <w:t>The publishing lifecycle consists of six defined stages, applied consistently across all content types.</w:t>
      </w:r>
    </w:p>
    <w:p w:rsidR="00C47FF7" w:rsidRDefault="00612CB6">
      <w:pPr>
        <w:pStyle w:val="Heading2"/>
        <w:spacing w:before="260" w:after="140"/>
      </w:pPr>
      <w:r>
        <w:rPr>
          <w:b/>
          <w:bCs/>
          <w:color w:val="1B2A41"/>
        </w:rPr>
        <w:t>1.1 Stage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47FF7">
        <w:trPr>
          <w:tblHeader/>
        </w:trPr>
        <w:tc>
          <w:tcPr>
            <w:tcW w:w="4500" w:type="dxa"/>
            <w:shd w:val="clear" w:color="auto" w:fill="1B2A41"/>
            <w:vAlign w:val="center"/>
          </w:tcPr>
          <w:p w:rsidR="00C47FF7" w:rsidRDefault="00612CB6">
            <w:r>
              <w:rPr>
                <w:rFonts w:ascii="Calibri" w:eastAsia="Calibri" w:hAnsi="Calibri" w:cs="Calibri"/>
                <w:b/>
                <w:bCs/>
                <w:color w:val="FFFFFF"/>
                <w:sz w:val="20"/>
                <w:szCs w:val="20"/>
              </w:rPr>
              <w:t>Stage</w:t>
            </w:r>
          </w:p>
        </w:tc>
        <w:tc>
          <w:tcPr>
            <w:tcW w:w="4500" w:type="dxa"/>
            <w:shd w:val="clear" w:color="auto" w:fill="1B2A41"/>
            <w:vAlign w:val="center"/>
          </w:tcPr>
          <w:p w:rsidR="00C47FF7" w:rsidRDefault="00612CB6">
            <w:r>
              <w:rPr>
                <w:rFonts w:ascii="Calibri" w:eastAsia="Calibri" w:hAnsi="Calibri" w:cs="Calibri"/>
                <w:b/>
                <w:bCs/>
                <w:color w:val="FFFFFF"/>
                <w:sz w:val="20"/>
                <w:szCs w:val="20"/>
              </w:rPr>
              <w:t>Description</w:t>
            </w:r>
          </w:p>
        </w:tc>
      </w:tr>
      <w:tr w:rsidR="00C47FF7">
        <w:tc>
          <w:tcPr>
            <w:tcW w:w="4500" w:type="dxa"/>
          </w:tcPr>
          <w:p w:rsidR="00C47FF7" w:rsidRDefault="00612CB6">
            <w:r>
              <w:rPr>
                <w:sz w:val="22"/>
                <w:szCs w:val="22"/>
              </w:rPr>
              <w:t>1. Draft</w:t>
            </w:r>
          </w:p>
        </w:tc>
        <w:tc>
          <w:tcPr>
            <w:tcW w:w="4500" w:type="dxa"/>
          </w:tcPr>
          <w:p w:rsidR="00C47FF7" w:rsidRDefault="00612CB6">
            <w:r>
              <w:rPr>
                <w:sz w:val="22"/>
                <w:szCs w:val="22"/>
              </w:rPr>
              <w:t>Content is created by the assigned writer</w:t>
            </w:r>
          </w:p>
        </w:tc>
      </w:tr>
      <w:tr w:rsidR="00C47FF7">
        <w:tc>
          <w:tcPr>
            <w:tcW w:w="4500" w:type="dxa"/>
          </w:tcPr>
          <w:p w:rsidR="00C47FF7" w:rsidRDefault="00612CB6">
            <w:r>
              <w:rPr>
                <w:sz w:val="22"/>
                <w:szCs w:val="22"/>
              </w:rPr>
              <w:t>2. Internal Review</w:t>
            </w:r>
          </w:p>
        </w:tc>
        <w:tc>
          <w:tcPr>
            <w:tcW w:w="4500" w:type="dxa"/>
          </w:tcPr>
          <w:p w:rsidR="00C47FF7" w:rsidRDefault="00612CB6">
            <w:r>
              <w:rPr>
                <w:sz w:val="22"/>
                <w:szCs w:val="22"/>
              </w:rPr>
              <w:t>Peer or subject-matter review for accuracy and clarity</w:t>
            </w:r>
          </w:p>
        </w:tc>
      </w:tr>
      <w:tr w:rsidR="00C47FF7">
        <w:tc>
          <w:tcPr>
            <w:tcW w:w="4500" w:type="dxa"/>
          </w:tcPr>
          <w:p w:rsidR="00C47FF7" w:rsidRDefault="00612CB6">
            <w:r>
              <w:rPr>
                <w:sz w:val="22"/>
                <w:szCs w:val="22"/>
              </w:rPr>
              <w:t>3. Editorial Approval</w:t>
            </w:r>
          </w:p>
        </w:tc>
        <w:tc>
          <w:tcPr>
            <w:tcW w:w="4500" w:type="dxa"/>
          </w:tcPr>
          <w:p w:rsidR="00C47FF7" w:rsidRDefault="00612CB6">
            <w:r>
              <w:rPr>
                <w:sz w:val="22"/>
                <w:szCs w:val="22"/>
              </w:rPr>
              <w:t>Communications Department reviews tone, brand, and compliance</w:t>
            </w:r>
          </w:p>
        </w:tc>
      </w:tr>
      <w:tr w:rsidR="00C47FF7">
        <w:tc>
          <w:tcPr>
            <w:tcW w:w="4500" w:type="dxa"/>
          </w:tcPr>
          <w:p w:rsidR="00C47FF7" w:rsidRDefault="00612CB6">
            <w:r>
              <w:rPr>
                <w:sz w:val="22"/>
                <w:szCs w:val="22"/>
              </w:rPr>
              <w:t>4. Final Formatting</w:t>
            </w:r>
          </w:p>
        </w:tc>
        <w:tc>
          <w:tcPr>
            <w:tcW w:w="4500" w:type="dxa"/>
          </w:tcPr>
          <w:p w:rsidR="00C47FF7" w:rsidRDefault="00612CB6">
            <w:r>
              <w:rPr>
                <w:sz w:val="22"/>
                <w:szCs w:val="22"/>
              </w:rPr>
              <w:t>Content is formatted to publishing standards</w:t>
            </w:r>
          </w:p>
        </w:tc>
      </w:tr>
      <w:tr w:rsidR="00C47FF7">
        <w:tc>
          <w:tcPr>
            <w:tcW w:w="4500" w:type="dxa"/>
          </w:tcPr>
          <w:p w:rsidR="00C47FF7" w:rsidRDefault="00612CB6">
            <w:r>
              <w:rPr>
                <w:sz w:val="22"/>
                <w:szCs w:val="22"/>
              </w:rPr>
              <w:t>5. Publication</w:t>
            </w:r>
          </w:p>
        </w:tc>
        <w:tc>
          <w:tcPr>
            <w:tcW w:w="4500" w:type="dxa"/>
          </w:tcPr>
          <w:p w:rsidR="00C47FF7" w:rsidRDefault="00612CB6">
            <w:r>
              <w:rPr>
                <w:sz w:val="22"/>
                <w:szCs w:val="22"/>
              </w:rPr>
              <w:t>Content goes live on its intended platform</w:t>
            </w:r>
          </w:p>
        </w:tc>
      </w:tr>
      <w:tr w:rsidR="00C47FF7">
        <w:tc>
          <w:tcPr>
            <w:tcW w:w="4500" w:type="dxa"/>
          </w:tcPr>
          <w:p w:rsidR="00C47FF7" w:rsidRDefault="00612CB6">
            <w:r>
              <w:rPr>
                <w:sz w:val="22"/>
                <w:szCs w:val="22"/>
              </w:rPr>
              <w:t>6. Post-Publication Check</w:t>
            </w:r>
          </w:p>
        </w:tc>
        <w:tc>
          <w:tcPr>
            <w:tcW w:w="4500" w:type="dxa"/>
          </w:tcPr>
          <w:p w:rsidR="00C47FF7" w:rsidRDefault="00612CB6">
            <w:r>
              <w:rPr>
                <w:sz w:val="22"/>
                <w:szCs w:val="22"/>
              </w:rPr>
              <w:t>Content is verified shortly after going live</w:t>
            </w:r>
          </w:p>
        </w:tc>
      </w:tr>
    </w:tbl>
    <w:p w:rsidR="00C47FF7" w:rsidRDefault="00C47FF7">
      <w:pPr>
        <w:spacing w:after="200"/>
      </w:pPr>
    </w:p>
    <w:p w:rsidR="00C47FF7" w:rsidRDefault="00612CB6">
      <w:pPr>
        <w:pStyle w:val="Heading2"/>
        <w:spacing w:before="260" w:after="140"/>
      </w:pPr>
      <w:r>
        <w:rPr>
          <w:b/>
          <w:bCs/>
          <w:color w:val="1B2A41"/>
        </w:rPr>
        <w:t>1.2 Stage Transitions</w:t>
      </w:r>
    </w:p>
    <w:p w:rsidR="00C47FF7" w:rsidRDefault="00612CB6">
      <w:pPr>
        <w:pStyle w:val="ListParagraph"/>
        <w:numPr>
          <w:ilvl w:val="0"/>
          <w:numId w:val="2"/>
        </w:numPr>
        <w:spacing w:after="100"/>
      </w:pPr>
      <w:r>
        <w:t>Content may only move to the next stage once the current stage's requirements are met — stages cannot be skipped, even under deadline pressure.</w:t>
      </w:r>
    </w:p>
    <w:p w:rsidR="00C47FF7" w:rsidRDefault="00612CB6">
      <w:pPr>
        <w:pStyle w:val="ListParagraph"/>
        <w:numPr>
          <w:ilvl w:val="0"/>
          <w:numId w:val="2"/>
        </w:numPr>
        <w:spacing w:after="100"/>
      </w:pPr>
      <w:r>
        <w:t>Each stage transition should be logged in the content tracker so the current status is visible to all stakeholders.</w:t>
      </w:r>
    </w:p>
    <w:p w:rsidR="00C47FF7" w:rsidRDefault="00612CB6">
      <w:pPr>
        <w:pStyle w:val="Heading2"/>
        <w:spacing w:before="260" w:after="140"/>
      </w:pPr>
      <w:r>
        <w:rPr>
          <w:b/>
          <w:bCs/>
          <w:color w:val="1B2A41"/>
        </w:rPr>
        <w:t>1.3 Timeframes by Content 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47FF7">
        <w:trPr>
          <w:tblHeader/>
        </w:trPr>
        <w:tc>
          <w:tcPr>
            <w:tcW w:w="4500" w:type="dxa"/>
            <w:shd w:val="clear" w:color="auto" w:fill="1B2A41"/>
            <w:vAlign w:val="center"/>
          </w:tcPr>
          <w:p w:rsidR="00C47FF7" w:rsidRDefault="00612CB6">
            <w:r>
              <w:rPr>
                <w:rFonts w:ascii="Calibri" w:eastAsia="Calibri" w:hAnsi="Calibri" w:cs="Calibri"/>
                <w:b/>
                <w:bCs/>
                <w:color w:val="FFFFFF"/>
                <w:sz w:val="20"/>
                <w:szCs w:val="20"/>
              </w:rPr>
              <w:t>Content Type</w:t>
            </w:r>
          </w:p>
        </w:tc>
        <w:tc>
          <w:tcPr>
            <w:tcW w:w="4500" w:type="dxa"/>
            <w:shd w:val="clear" w:color="auto" w:fill="1B2A41"/>
            <w:vAlign w:val="center"/>
          </w:tcPr>
          <w:p w:rsidR="00C47FF7" w:rsidRDefault="00612CB6">
            <w:r>
              <w:rPr>
                <w:rFonts w:ascii="Calibri" w:eastAsia="Calibri" w:hAnsi="Calibri" w:cs="Calibri"/>
                <w:b/>
                <w:bCs/>
                <w:color w:val="FFFFFF"/>
                <w:sz w:val="20"/>
                <w:szCs w:val="20"/>
              </w:rPr>
              <w:t>Typical Total Turnaround</w:t>
            </w:r>
          </w:p>
        </w:tc>
      </w:tr>
      <w:tr w:rsidR="00C47FF7">
        <w:tc>
          <w:tcPr>
            <w:tcW w:w="4500" w:type="dxa"/>
          </w:tcPr>
          <w:p w:rsidR="00C47FF7" w:rsidRDefault="00612CB6">
            <w:r>
              <w:rPr>
                <w:sz w:val="22"/>
                <w:szCs w:val="22"/>
              </w:rPr>
              <w:t>Social media post</w:t>
            </w:r>
          </w:p>
        </w:tc>
        <w:tc>
          <w:tcPr>
            <w:tcW w:w="4500" w:type="dxa"/>
          </w:tcPr>
          <w:p w:rsidR="00C47FF7" w:rsidRDefault="00612CB6">
            <w:r>
              <w:rPr>
                <w:sz w:val="22"/>
                <w:szCs w:val="22"/>
              </w:rPr>
              <w:t>1 business day</w:t>
            </w:r>
          </w:p>
        </w:tc>
      </w:tr>
      <w:tr w:rsidR="00C47FF7">
        <w:tc>
          <w:tcPr>
            <w:tcW w:w="4500" w:type="dxa"/>
          </w:tcPr>
          <w:p w:rsidR="00C47FF7" w:rsidRDefault="00612CB6">
            <w:r>
              <w:rPr>
                <w:sz w:val="22"/>
                <w:szCs w:val="22"/>
              </w:rPr>
              <w:t>Blog article</w:t>
            </w:r>
          </w:p>
        </w:tc>
        <w:tc>
          <w:tcPr>
            <w:tcW w:w="4500" w:type="dxa"/>
          </w:tcPr>
          <w:p w:rsidR="00C47FF7" w:rsidRDefault="00612CB6">
            <w:r>
              <w:rPr>
                <w:sz w:val="22"/>
                <w:szCs w:val="22"/>
              </w:rPr>
              <w:t>3–5 business days</w:t>
            </w:r>
          </w:p>
        </w:tc>
      </w:tr>
      <w:tr w:rsidR="00C47FF7">
        <w:tc>
          <w:tcPr>
            <w:tcW w:w="4500" w:type="dxa"/>
          </w:tcPr>
          <w:p w:rsidR="00C47FF7" w:rsidRDefault="00612CB6">
            <w:r>
              <w:rPr>
                <w:sz w:val="22"/>
                <w:szCs w:val="22"/>
              </w:rPr>
              <w:t>Newsletter</w:t>
            </w:r>
          </w:p>
        </w:tc>
        <w:tc>
          <w:tcPr>
            <w:tcW w:w="4500" w:type="dxa"/>
          </w:tcPr>
          <w:p w:rsidR="00C47FF7" w:rsidRDefault="00612CB6">
            <w:r>
              <w:rPr>
                <w:sz w:val="22"/>
                <w:szCs w:val="22"/>
              </w:rPr>
              <w:t>5 business days</w:t>
            </w:r>
          </w:p>
        </w:tc>
      </w:tr>
      <w:tr w:rsidR="00C47FF7">
        <w:tc>
          <w:tcPr>
            <w:tcW w:w="4500" w:type="dxa"/>
          </w:tcPr>
          <w:p w:rsidR="00C47FF7" w:rsidRDefault="00612CB6">
            <w:r>
              <w:rPr>
                <w:sz w:val="22"/>
                <w:szCs w:val="22"/>
              </w:rPr>
              <w:t>Press release / public announcement</w:t>
            </w:r>
          </w:p>
        </w:tc>
        <w:tc>
          <w:tcPr>
            <w:tcW w:w="4500" w:type="dxa"/>
          </w:tcPr>
          <w:p w:rsidR="00C47FF7" w:rsidRDefault="00612CB6">
            <w:r>
              <w:rPr>
                <w:sz w:val="22"/>
                <w:szCs w:val="22"/>
              </w:rPr>
              <w:t>7–10 business days</w:t>
            </w:r>
          </w:p>
        </w:tc>
      </w:tr>
    </w:tbl>
    <w:p w:rsidR="00C47FF7" w:rsidRDefault="00612CB6">
      <w:pPr>
        <w:pStyle w:val="Heading1"/>
        <w:pBdr>
          <w:bottom w:val="single" w:sz="6" w:space="4" w:color="B99A5B"/>
        </w:pBdr>
        <w:spacing w:before="360" w:after="200"/>
      </w:pPr>
      <w:r>
        <w:rPr>
          <w:rFonts w:ascii="Calibri" w:eastAsia="Calibri" w:hAnsi="Calibri" w:cs="Calibri"/>
          <w:b/>
          <w:bCs/>
          <w:color w:val="1B2A41"/>
        </w:rPr>
        <w:lastRenderedPageBreak/>
        <w:t>Section 2: Approval Process</w:t>
      </w:r>
    </w:p>
    <w:p w:rsidR="00C47FF7" w:rsidRDefault="00612CB6">
      <w:pPr>
        <w:pStyle w:val="Heading2"/>
        <w:spacing w:before="260" w:after="140"/>
      </w:pPr>
      <w:r>
        <w:rPr>
          <w:b/>
          <w:bCs/>
          <w:color w:val="1B2A41"/>
        </w:rPr>
        <w:t>2.1 Approval Checkpoints</w:t>
      </w:r>
    </w:p>
    <w:p w:rsidR="00C47FF7" w:rsidRDefault="00612CB6">
      <w:pPr>
        <w:spacing w:after="160" w:line="276" w:lineRule="auto"/>
      </w:pPr>
      <w:r>
        <w:t>Two formal approval checkpoints exist in the workflow:</w:t>
      </w:r>
    </w:p>
    <w:p w:rsidR="00C47FF7" w:rsidRDefault="00612CB6">
      <w:pPr>
        <w:pStyle w:val="ListParagraph"/>
        <w:numPr>
          <w:ilvl w:val="0"/>
          <w:numId w:val="2"/>
        </w:numPr>
        <w:spacing w:after="100"/>
      </w:pPr>
      <w:r>
        <w:t>Editorial Approval (Stage 3) — content accuracy, tone, and brand alignment.</w:t>
      </w:r>
    </w:p>
    <w:p w:rsidR="00C47FF7" w:rsidRDefault="00612CB6">
      <w:pPr>
        <w:pStyle w:val="ListParagraph"/>
        <w:numPr>
          <w:ilvl w:val="0"/>
          <w:numId w:val="2"/>
        </w:numPr>
        <w:spacing w:after="100"/>
      </w:pPr>
      <w:r>
        <w:t>Final Sign-Off (before Stage 5) — final confirmation that formatting and last-minute edits are complete.</w:t>
      </w:r>
    </w:p>
    <w:p w:rsidR="00C47FF7" w:rsidRDefault="00612CB6">
      <w:pPr>
        <w:pStyle w:val="Heading2"/>
        <w:spacing w:before="260" w:after="140"/>
      </w:pPr>
      <w:r>
        <w:rPr>
          <w:b/>
          <w:bCs/>
          <w:color w:val="1B2A41"/>
        </w:rPr>
        <w:t>2.2 Approval Outcomes</w:t>
      </w:r>
    </w:p>
    <w:p w:rsidR="00C47FF7" w:rsidRDefault="00612CB6">
      <w:pPr>
        <w:spacing w:after="160" w:line="276" w:lineRule="auto"/>
      </w:pPr>
      <w:r>
        <w:t>Every approval checkpoint results in one of three outcomes:</w:t>
      </w:r>
    </w:p>
    <w:p w:rsidR="00C47FF7" w:rsidRDefault="00612CB6">
      <w:pPr>
        <w:pStyle w:val="ListParagraph"/>
        <w:numPr>
          <w:ilvl w:val="0"/>
          <w:numId w:val="2"/>
        </w:numPr>
        <w:spacing w:after="100"/>
      </w:pPr>
      <w:r>
        <w:t>Approved — proceeds to the next stage immediately.</w:t>
      </w:r>
    </w:p>
    <w:p w:rsidR="00C47FF7" w:rsidRDefault="00612CB6">
      <w:pPr>
        <w:pStyle w:val="ListParagraph"/>
        <w:numPr>
          <w:ilvl w:val="0"/>
          <w:numId w:val="2"/>
        </w:numPr>
        <w:spacing w:after="100"/>
      </w:pPr>
      <w:r>
        <w:t>Approved with minor edits — writer applies small changes without a second full review.</w:t>
      </w:r>
    </w:p>
    <w:p w:rsidR="00C47FF7" w:rsidRDefault="00612CB6">
      <w:pPr>
        <w:pStyle w:val="ListParagraph"/>
        <w:numPr>
          <w:ilvl w:val="0"/>
          <w:numId w:val="2"/>
        </w:numPr>
        <w:spacing w:after="100"/>
      </w:pPr>
      <w:r>
        <w:t>Returned for revision — sent back to the previous stage with documented feedback.</w:t>
      </w:r>
    </w:p>
    <w:p w:rsidR="00C47FF7" w:rsidRDefault="00612CB6">
      <w:pPr>
        <w:pStyle w:val="Heading2"/>
        <w:spacing w:before="260" w:after="140"/>
      </w:pPr>
      <w:r>
        <w:rPr>
          <w:b/>
          <w:bCs/>
          <w:color w:val="1B2A41"/>
        </w:rPr>
        <w:t>2.3 Bypassing the Process</w:t>
      </w:r>
    </w:p>
    <w:p w:rsidR="00C47FF7" w:rsidRDefault="00612CB6">
      <w:pPr>
        <w:spacing w:after="160" w:line="276" w:lineRule="auto"/>
      </w:pPr>
      <w:r>
        <w:t>No content may be published without completing both approval checkpoints, regardless of urgency. Time-sensitive content should be flagged as urgent (see Section 1.3) rather than skipping approval steps.</w:t>
      </w:r>
    </w:p>
    <w:p w:rsidR="00C47FF7" w:rsidRDefault="00612CB6">
      <w:pPr>
        <w:pStyle w:val="Heading1"/>
        <w:pBdr>
          <w:bottom w:val="single" w:sz="6" w:space="4" w:color="B99A5B"/>
        </w:pBdr>
        <w:spacing w:before="360" w:after="200"/>
      </w:pPr>
      <w:r>
        <w:rPr>
          <w:rFonts w:ascii="Calibri" w:eastAsia="Calibri" w:hAnsi="Calibri" w:cs="Calibri"/>
          <w:b/>
          <w:bCs/>
          <w:color w:val="1B2A41"/>
        </w:rPr>
        <w:t>Section 3: Publishing Responsibilities</w:t>
      </w:r>
    </w:p>
    <w:p w:rsidR="00C47FF7" w:rsidRDefault="00612CB6">
      <w:pPr>
        <w:pStyle w:val="Heading2"/>
        <w:spacing w:before="260" w:after="140"/>
      </w:pPr>
      <w:r>
        <w:rPr>
          <w:b/>
          <w:bCs/>
          <w:color w:val="1B2A41"/>
        </w:rPr>
        <w:t>3.1 Role Definitions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47FF7">
        <w:trPr>
          <w:tblHeader/>
        </w:trPr>
        <w:tc>
          <w:tcPr>
            <w:tcW w:w="4500" w:type="dxa"/>
            <w:shd w:val="clear" w:color="auto" w:fill="1B2A41"/>
            <w:vAlign w:val="center"/>
          </w:tcPr>
          <w:p w:rsidR="00C47FF7" w:rsidRDefault="00612CB6">
            <w:r>
              <w:rPr>
                <w:rFonts w:ascii="Calibri" w:eastAsia="Calibri" w:hAnsi="Calibri" w:cs="Calibri"/>
                <w:b/>
                <w:bCs/>
                <w:color w:val="FFFFFF"/>
                <w:sz w:val="20"/>
                <w:szCs w:val="20"/>
              </w:rPr>
              <w:t>Role</w:t>
            </w:r>
          </w:p>
        </w:tc>
        <w:tc>
          <w:tcPr>
            <w:tcW w:w="4500" w:type="dxa"/>
            <w:shd w:val="clear" w:color="auto" w:fill="1B2A41"/>
            <w:vAlign w:val="center"/>
          </w:tcPr>
          <w:p w:rsidR="00C47FF7" w:rsidRDefault="00612CB6">
            <w:r>
              <w:rPr>
                <w:rFonts w:ascii="Calibri" w:eastAsia="Calibri" w:hAnsi="Calibri" w:cs="Calibri"/>
                <w:b/>
                <w:bCs/>
                <w:color w:val="FFFFFF"/>
                <w:sz w:val="20"/>
                <w:szCs w:val="20"/>
              </w:rPr>
              <w:t>Responsibility</w:t>
            </w:r>
          </w:p>
        </w:tc>
      </w:tr>
      <w:tr w:rsidR="00C47FF7">
        <w:tc>
          <w:tcPr>
            <w:tcW w:w="4500" w:type="dxa"/>
          </w:tcPr>
          <w:p w:rsidR="00C47FF7" w:rsidRDefault="00612CB6">
            <w:r>
              <w:rPr>
                <w:sz w:val="22"/>
                <w:szCs w:val="22"/>
              </w:rPr>
              <w:t>Writer/Owner</w:t>
            </w:r>
          </w:p>
        </w:tc>
        <w:tc>
          <w:tcPr>
            <w:tcW w:w="4500" w:type="dxa"/>
          </w:tcPr>
          <w:p w:rsidR="00C47FF7" w:rsidRDefault="00612CB6">
            <w:r>
              <w:rPr>
                <w:sz w:val="22"/>
                <w:szCs w:val="22"/>
              </w:rPr>
              <w:t>Creates the draft and applies revision feedback</w:t>
            </w:r>
          </w:p>
        </w:tc>
      </w:tr>
      <w:tr w:rsidR="00C47FF7">
        <w:tc>
          <w:tcPr>
            <w:tcW w:w="4500" w:type="dxa"/>
          </w:tcPr>
          <w:p w:rsidR="00C47FF7" w:rsidRDefault="00612CB6">
            <w:r>
              <w:rPr>
                <w:sz w:val="22"/>
                <w:szCs w:val="22"/>
              </w:rPr>
              <w:t>Reviewer</w:t>
            </w:r>
          </w:p>
        </w:tc>
        <w:tc>
          <w:tcPr>
            <w:tcW w:w="4500" w:type="dxa"/>
          </w:tcPr>
          <w:p w:rsidR="00C47FF7" w:rsidRDefault="00612CB6">
            <w:r>
              <w:rPr>
                <w:sz w:val="22"/>
                <w:szCs w:val="22"/>
              </w:rPr>
              <w:t>Checks accuracy and clarity during Internal Review</w:t>
            </w:r>
          </w:p>
        </w:tc>
      </w:tr>
      <w:tr w:rsidR="00C47FF7">
        <w:tc>
          <w:tcPr>
            <w:tcW w:w="4500" w:type="dxa"/>
          </w:tcPr>
          <w:p w:rsidR="00C47FF7" w:rsidRDefault="00612CB6">
            <w:r>
              <w:rPr>
                <w:sz w:val="22"/>
                <w:szCs w:val="22"/>
              </w:rPr>
              <w:t>Communications Department</w:t>
            </w:r>
          </w:p>
        </w:tc>
        <w:tc>
          <w:tcPr>
            <w:tcW w:w="4500" w:type="dxa"/>
          </w:tcPr>
          <w:p w:rsidR="00C47FF7" w:rsidRDefault="00612CB6">
            <w:r>
              <w:rPr>
                <w:sz w:val="22"/>
                <w:szCs w:val="22"/>
              </w:rPr>
              <w:t>Grants Editorial Approval and Final Sign-Off</w:t>
            </w:r>
          </w:p>
        </w:tc>
      </w:tr>
      <w:tr w:rsidR="00C47FF7">
        <w:tc>
          <w:tcPr>
            <w:tcW w:w="4500" w:type="dxa"/>
          </w:tcPr>
          <w:p w:rsidR="00C47FF7" w:rsidRDefault="00612CB6">
            <w:r>
              <w:rPr>
                <w:sz w:val="22"/>
                <w:szCs w:val="22"/>
              </w:rPr>
              <w:t>Publisher</w:t>
            </w:r>
          </w:p>
        </w:tc>
        <w:tc>
          <w:tcPr>
            <w:tcW w:w="4500" w:type="dxa"/>
          </w:tcPr>
          <w:p w:rsidR="00C47FF7" w:rsidRDefault="00612CB6">
            <w:r>
              <w:rPr>
                <w:sz w:val="22"/>
                <w:szCs w:val="22"/>
              </w:rPr>
              <w:t>Formats and releases the content on the intended platform</w:t>
            </w:r>
          </w:p>
        </w:tc>
      </w:tr>
      <w:tr w:rsidR="00C47FF7">
        <w:tc>
          <w:tcPr>
            <w:tcW w:w="4500" w:type="dxa"/>
          </w:tcPr>
          <w:p w:rsidR="00C47FF7" w:rsidRDefault="00612CB6">
            <w:r>
              <w:rPr>
                <w:sz w:val="22"/>
                <w:szCs w:val="22"/>
              </w:rPr>
              <w:t>Platform Owner</w:t>
            </w:r>
          </w:p>
        </w:tc>
        <w:tc>
          <w:tcPr>
            <w:tcW w:w="4500" w:type="dxa"/>
          </w:tcPr>
          <w:p w:rsidR="00C47FF7" w:rsidRDefault="00612CB6">
            <w:r>
              <w:rPr>
                <w:sz w:val="22"/>
                <w:szCs w:val="22"/>
              </w:rPr>
              <w:t>Maintains the channel content is published to (e.g., website admin, social media manager)</w:t>
            </w:r>
          </w:p>
        </w:tc>
      </w:tr>
    </w:tbl>
    <w:p w:rsidR="00C47FF7" w:rsidRDefault="00C47FF7">
      <w:pPr>
        <w:spacing w:after="200"/>
      </w:pPr>
    </w:p>
    <w:p w:rsidR="004B3711" w:rsidRDefault="004B3711">
      <w:pPr>
        <w:pStyle w:val="Heading2"/>
        <w:spacing w:before="260" w:after="140"/>
        <w:rPr>
          <w:b/>
          <w:bCs/>
          <w:color w:val="1B2A41"/>
        </w:rPr>
      </w:pPr>
    </w:p>
    <w:p w:rsidR="004B3711" w:rsidRDefault="004B3711">
      <w:pPr>
        <w:pStyle w:val="Heading2"/>
        <w:spacing w:before="260" w:after="140"/>
        <w:rPr>
          <w:b/>
          <w:bCs/>
          <w:color w:val="1B2A41"/>
        </w:rPr>
      </w:pPr>
    </w:p>
    <w:p w:rsidR="004B3711" w:rsidRDefault="004B3711">
      <w:pPr>
        <w:pStyle w:val="Heading2"/>
        <w:spacing w:before="260" w:after="140"/>
        <w:rPr>
          <w:b/>
          <w:bCs/>
          <w:color w:val="1B2A41"/>
        </w:rPr>
      </w:pPr>
    </w:p>
    <w:p w:rsidR="00283C41" w:rsidRDefault="00283C41">
      <w:pPr>
        <w:pStyle w:val="Heading2"/>
        <w:spacing w:before="260" w:after="140"/>
        <w:rPr>
          <w:b/>
          <w:bCs/>
          <w:color w:val="1B2A41"/>
        </w:rPr>
      </w:pPr>
    </w:p>
    <w:p w:rsidR="00C47FF7" w:rsidRDefault="00612CB6">
      <w:pPr>
        <w:pStyle w:val="Heading2"/>
        <w:spacing w:before="260" w:after="140"/>
      </w:pPr>
      <w:r>
        <w:rPr>
          <w:b/>
          <w:bCs/>
          <w:color w:val="1B2A41"/>
        </w:rPr>
        <w:lastRenderedPageBreak/>
        <w:t>3.2 Responsibility by Stage (RACI Overview)</w:t>
      </w:r>
    </w:p>
    <w:p w:rsidR="00C47FF7" w:rsidRDefault="00612CB6">
      <w:pPr>
        <w:spacing w:after="160" w:line="276" w:lineRule="auto"/>
      </w:pPr>
      <w:r>
        <w:rPr>
          <w:i/>
          <w:iCs/>
          <w:color w:val="6E6E6E"/>
        </w:rPr>
        <w:t xml:space="preserve">R = Responsible, </w:t>
      </w:r>
      <w:proofErr w:type="gramStart"/>
      <w:r>
        <w:rPr>
          <w:i/>
          <w:iCs/>
          <w:color w:val="6E6E6E"/>
        </w:rPr>
        <w:t>A</w:t>
      </w:r>
      <w:proofErr w:type="gramEnd"/>
      <w:r>
        <w:rPr>
          <w:i/>
          <w:iCs/>
          <w:color w:val="6E6E6E"/>
        </w:rPr>
        <w:t xml:space="preserve"> = Accountable, C = Consulted, I = Informed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C47FF7">
        <w:trPr>
          <w:tblHeader/>
        </w:trPr>
        <w:tc>
          <w:tcPr>
            <w:tcW w:w="2600" w:type="dxa"/>
            <w:shd w:val="clear" w:color="auto" w:fill="1B2A41"/>
            <w:vAlign w:val="center"/>
          </w:tcPr>
          <w:p w:rsidR="00C47FF7" w:rsidRDefault="00612CB6">
            <w:r>
              <w:rPr>
                <w:rFonts w:ascii="Calibri" w:eastAsia="Calibri" w:hAnsi="Calibri" w:cs="Calibri"/>
                <w:b/>
                <w:bCs/>
                <w:color w:val="FFFFFF"/>
                <w:sz w:val="18"/>
                <w:szCs w:val="18"/>
              </w:rPr>
              <w:t>Stage</w:t>
            </w:r>
          </w:p>
        </w:tc>
        <w:tc>
          <w:tcPr>
            <w:tcW w:w="1600" w:type="dxa"/>
            <w:shd w:val="clear" w:color="auto" w:fill="1B2A41"/>
            <w:vAlign w:val="center"/>
          </w:tcPr>
          <w:p w:rsidR="00C47FF7" w:rsidRDefault="00612CB6">
            <w:r>
              <w:rPr>
                <w:rFonts w:ascii="Calibri" w:eastAsia="Calibri" w:hAnsi="Calibri" w:cs="Calibri"/>
                <w:b/>
                <w:bCs/>
                <w:color w:val="FFFFFF"/>
                <w:sz w:val="18"/>
                <w:szCs w:val="18"/>
              </w:rPr>
              <w:t>Writer</w:t>
            </w:r>
          </w:p>
        </w:tc>
        <w:tc>
          <w:tcPr>
            <w:tcW w:w="1600" w:type="dxa"/>
            <w:shd w:val="clear" w:color="auto" w:fill="1B2A41"/>
            <w:vAlign w:val="center"/>
          </w:tcPr>
          <w:p w:rsidR="00C47FF7" w:rsidRDefault="00612CB6">
            <w:r>
              <w:rPr>
                <w:rFonts w:ascii="Calibri" w:eastAsia="Calibri" w:hAnsi="Calibri" w:cs="Calibri"/>
                <w:b/>
                <w:bCs/>
                <w:color w:val="FFFFFF"/>
                <w:sz w:val="18"/>
                <w:szCs w:val="18"/>
              </w:rPr>
              <w:t>Reviewer</w:t>
            </w:r>
          </w:p>
        </w:tc>
        <w:tc>
          <w:tcPr>
            <w:tcW w:w="1600" w:type="dxa"/>
            <w:shd w:val="clear" w:color="auto" w:fill="1B2A41"/>
            <w:vAlign w:val="center"/>
          </w:tcPr>
          <w:p w:rsidR="00C47FF7" w:rsidRDefault="00612CB6">
            <w:proofErr w:type="spellStart"/>
            <w:r>
              <w:rPr>
                <w:rFonts w:ascii="Calibri" w:eastAsia="Calibri" w:hAnsi="Calibri" w:cs="Calibri"/>
                <w:b/>
                <w:bCs/>
                <w:color w:val="FFFFFF"/>
                <w:sz w:val="18"/>
                <w:szCs w:val="18"/>
              </w:rPr>
              <w:t>Comms</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Dept</w:t>
            </w:r>
            <w:proofErr w:type="spellEnd"/>
          </w:p>
        </w:tc>
        <w:tc>
          <w:tcPr>
            <w:tcW w:w="1600" w:type="dxa"/>
            <w:shd w:val="clear" w:color="auto" w:fill="1B2A41"/>
            <w:vAlign w:val="center"/>
          </w:tcPr>
          <w:p w:rsidR="00C47FF7" w:rsidRDefault="00612CB6">
            <w:r>
              <w:rPr>
                <w:rFonts w:ascii="Calibri" w:eastAsia="Calibri" w:hAnsi="Calibri" w:cs="Calibri"/>
                <w:b/>
                <w:bCs/>
                <w:color w:val="FFFFFF"/>
                <w:sz w:val="18"/>
                <w:szCs w:val="18"/>
              </w:rPr>
              <w:t>Publisher</w:t>
            </w:r>
          </w:p>
        </w:tc>
      </w:tr>
      <w:tr w:rsidR="00C47FF7">
        <w:tc>
          <w:tcPr>
            <w:tcW w:w="2600" w:type="dxa"/>
          </w:tcPr>
          <w:p w:rsidR="00C47FF7" w:rsidRDefault="00612CB6">
            <w:r>
              <w:rPr>
                <w:sz w:val="20"/>
                <w:szCs w:val="20"/>
              </w:rPr>
              <w:t>Draft</w:t>
            </w:r>
          </w:p>
        </w:tc>
        <w:tc>
          <w:tcPr>
            <w:tcW w:w="1600" w:type="dxa"/>
          </w:tcPr>
          <w:p w:rsidR="00C47FF7" w:rsidRDefault="00612CB6">
            <w:r>
              <w:rPr>
                <w:sz w:val="20"/>
                <w:szCs w:val="20"/>
              </w:rPr>
              <w:t>R/A</w:t>
            </w:r>
          </w:p>
        </w:tc>
        <w:tc>
          <w:tcPr>
            <w:tcW w:w="1600" w:type="dxa"/>
          </w:tcPr>
          <w:p w:rsidR="00C47FF7" w:rsidRDefault="00612CB6">
            <w:r>
              <w:rPr>
                <w:sz w:val="20"/>
                <w:szCs w:val="20"/>
              </w:rPr>
              <w:t>I</w:t>
            </w:r>
          </w:p>
        </w:tc>
        <w:tc>
          <w:tcPr>
            <w:tcW w:w="1600" w:type="dxa"/>
          </w:tcPr>
          <w:p w:rsidR="00C47FF7" w:rsidRDefault="00612CB6">
            <w:r>
              <w:rPr>
                <w:sz w:val="20"/>
                <w:szCs w:val="20"/>
              </w:rPr>
              <w:t>I</w:t>
            </w:r>
          </w:p>
        </w:tc>
        <w:tc>
          <w:tcPr>
            <w:tcW w:w="1600" w:type="dxa"/>
          </w:tcPr>
          <w:p w:rsidR="00C47FF7" w:rsidRDefault="00612CB6">
            <w:r>
              <w:rPr>
                <w:sz w:val="20"/>
                <w:szCs w:val="20"/>
              </w:rPr>
              <w:t>I</w:t>
            </w:r>
          </w:p>
        </w:tc>
      </w:tr>
      <w:tr w:rsidR="00C47FF7">
        <w:tc>
          <w:tcPr>
            <w:tcW w:w="2600" w:type="dxa"/>
            <w:shd w:val="clear" w:color="auto" w:fill="F7F1E6"/>
          </w:tcPr>
          <w:p w:rsidR="00C47FF7" w:rsidRDefault="00612CB6">
            <w:r>
              <w:rPr>
                <w:sz w:val="20"/>
                <w:szCs w:val="20"/>
              </w:rPr>
              <w:t>Internal Review</w:t>
            </w:r>
          </w:p>
        </w:tc>
        <w:tc>
          <w:tcPr>
            <w:tcW w:w="1600" w:type="dxa"/>
            <w:shd w:val="clear" w:color="auto" w:fill="F7F1E6"/>
          </w:tcPr>
          <w:p w:rsidR="00C47FF7" w:rsidRDefault="00612CB6">
            <w:r>
              <w:rPr>
                <w:sz w:val="20"/>
                <w:szCs w:val="20"/>
              </w:rPr>
              <w:t>C</w:t>
            </w:r>
          </w:p>
        </w:tc>
        <w:tc>
          <w:tcPr>
            <w:tcW w:w="1600" w:type="dxa"/>
            <w:shd w:val="clear" w:color="auto" w:fill="F7F1E6"/>
          </w:tcPr>
          <w:p w:rsidR="00C47FF7" w:rsidRDefault="00612CB6">
            <w:r>
              <w:rPr>
                <w:sz w:val="20"/>
                <w:szCs w:val="20"/>
              </w:rPr>
              <w:t>R/A</w:t>
            </w:r>
          </w:p>
        </w:tc>
        <w:tc>
          <w:tcPr>
            <w:tcW w:w="1600" w:type="dxa"/>
            <w:shd w:val="clear" w:color="auto" w:fill="F7F1E6"/>
          </w:tcPr>
          <w:p w:rsidR="00C47FF7" w:rsidRDefault="00612CB6">
            <w:r>
              <w:rPr>
                <w:sz w:val="20"/>
                <w:szCs w:val="20"/>
              </w:rPr>
              <w:t>I</w:t>
            </w:r>
          </w:p>
        </w:tc>
        <w:tc>
          <w:tcPr>
            <w:tcW w:w="1600" w:type="dxa"/>
            <w:shd w:val="clear" w:color="auto" w:fill="F7F1E6"/>
          </w:tcPr>
          <w:p w:rsidR="00C47FF7" w:rsidRDefault="00612CB6">
            <w:r>
              <w:rPr>
                <w:sz w:val="20"/>
                <w:szCs w:val="20"/>
              </w:rPr>
              <w:t>I</w:t>
            </w:r>
          </w:p>
        </w:tc>
      </w:tr>
      <w:tr w:rsidR="00C47FF7">
        <w:tc>
          <w:tcPr>
            <w:tcW w:w="2600" w:type="dxa"/>
          </w:tcPr>
          <w:p w:rsidR="00C47FF7" w:rsidRDefault="00612CB6">
            <w:r>
              <w:rPr>
                <w:sz w:val="20"/>
                <w:szCs w:val="20"/>
              </w:rPr>
              <w:t>Editorial Approval</w:t>
            </w:r>
          </w:p>
        </w:tc>
        <w:tc>
          <w:tcPr>
            <w:tcW w:w="1600" w:type="dxa"/>
          </w:tcPr>
          <w:p w:rsidR="00C47FF7" w:rsidRDefault="00612CB6">
            <w:r>
              <w:rPr>
                <w:sz w:val="20"/>
                <w:szCs w:val="20"/>
              </w:rPr>
              <w:t>C</w:t>
            </w:r>
          </w:p>
        </w:tc>
        <w:tc>
          <w:tcPr>
            <w:tcW w:w="1600" w:type="dxa"/>
          </w:tcPr>
          <w:p w:rsidR="00C47FF7" w:rsidRDefault="00612CB6">
            <w:r>
              <w:rPr>
                <w:sz w:val="20"/>
                <w:szCs w:val="20"/>
              </w:rPr>
              <w:t>C</w:t>
            </w:r>
          </w:p>
        </w:tc>
        <w:tc>
          <w:tcPr>
            <w:tcW w:w="1600" w:type="dxa"/>
          </w:tcPr>
          <w:p w:rsidR="00C47FF7" w:rsidRDefault="00612CB6">
            <w:r>
              <w:rPr>
                <w:sz w:val="20"/>
                <w:szCs w:val="20"/>
              </w:rPr>
              <w:t>R/A</w:t>
            </w:r>
          </w:p>
        </w:tc>
        <w:tc>
          <w:tcPr>
            <w:tcW w:w="1600" w:type="dxa"/>
          </w:tcPr>
          <w:p w:rsidR="00C47FF7" w:rsidRDefault="00612CB6">
            <w:r>
              <w:rPr>
                <w:sz w:val="20"/>
                <w:szCs w:val="20"/>
              </w:rPr>
              <w:t>I</w:t>
            </w:r>
          </w:p>
        </w:tc>
      </w:tr>
      <w:tr w:rsidR="00C47FF7">
        <w:tc>
          <w:tcPr>
            <w:tcW w:w="2600" w:type="dxa"/>
            <w:shd w:val="clear" w:color="auto" w:fill="F7F1E6"/>
          </w:tcPr>
          <w:p w:rsidR="00C47FF7" w:rsidRDefault="00612CB6">
            <w:r>
              <w:rPr>
                <w:sz w:val="20"/>
                <w:szCs w:val="20"/>
              </w:rPr>
              <w:t>Final Formatting</w:t>
            </w:r>
          </w:p>
        </w:tc>
        <w:tc>
          <w:tcPr>
            <w:tcW w:w="1600" w:type="dxa"/>
            <w:shd w:val="clear" w:color="auto" w:fill="F7F1E6"/>
          </w:tcPr>
          <w:p w:rsidR="00C47FF7" w:rsidRDefault="00612CB6">
            <w:r>
              <w:rPr>
                <w:sz w:val="20"/>
                <w:szCs w:val="20"/>
              </w:rPr>
              <w:t>I</w:t>
            </w:r>
          </w:p>
        </w:tc>
        <w:tc>
          <w:tcPr>
            <w:tcW w:w="1600" w:type="dxa"/>
            <w:shd w:val="clear" w:color="auto" w:fill="F7F1E6"/>
          </w:tcPr>
          <w:p w:rsidR="00C47FF7" w:rsidRDefault="00612CB6">
            <w:r>
              <w:rPr>
                <w:sz w:val="20"/>
                <w:szCs w:val="20"/>
              </w:rPr>
              <w:t>I</w:t>
            </w:r>
          </w:p>
        </w:tc>
        <w:tc>
          <w:tcPr>
            <w:tcW w:w="1600" w:type="dxa"/>
            <w:shd w:val="clear" w:color="auto" w:fill="F7F1E6"/>
          </w:tcPr>
          <w:p w:rsidR="00C47FF7" w:rsidRDefault="00612CB6">
            <w:r>
              <w:rPr>
                <w:sz w:val="20"/>
                <w:szCs w:val="20"/>
              </w:rPr>
              <w:t>C</w:t>
            </w:r>
          </w:p>
        </w:tc>
        <w:tc>
          <w:tcPr>
            <w:tcW w:w="1600" w:type="dxa"/>
            <w:shd w:val="clear" w:color="auto" w:fill="F7F1E6"/>
          </w:tcPr>
          <w:p w:rsidR="00C47FF7" w:rsidRDefault="00612CB6">
            <w:r>
              <w:rPr>
                <w:sz w:val="20"/>
                <w:szCs w:val="20"/>
              </w:rPr>
              <w:t>R/A</w:t>
            </w:r>
          </w:p>
        </w:tc>
      </w:tr>
      <w:tr w:rsidR="00C47FF7">
        <w:tc>
          <w:tcPr>
            <w:tcW w:w="2600" w:type="dxa"/>
          </w:tcPr>
          <w:p w:rsidR="00C47FF7" w:rsidRDefault="00612CB6">
            <w:r>
              <w:rPr>
                <w:sz w:val="20"/>
                <w:szCs w:val="20"/>
              </w:rPr>
              <w:t>Publication</w:t>
            </w:r>
          </w:p>
        </w:tc>
        <w:tc>
          <w:tcPr>
            <w:tcW w:w="1600" w:type="dxa"/>
          </w:tcPr>
          <w:p w:rsidR="00C47FF7" w:rsidRDefault="00612CB6">
            <w:r>
              <w:rPr>
                <w:sz w:val="20"/>
                <w:szCs w:val="20"/>
              </w:rPr>
              <w:t>I</w:t>
            </w:r>
          </w:p>
        </w:tc>
        <w:tc>
          <w:tcPr>
            <w:tcW w:w="1600" w:type="dxa"/>
          </w:tcPr>
          <w:p w:rsidR="00C47FF7" w:rsidRDefault="00612CB6">
            <w:r>
              <w:rPr>
                <w:sz w:val="20"/>
                <w:szCs w:val="20"/>
              </w:rPr>
              <w:t>I</w:t>
            </w:r>
          </w:p>
        </w:tc>
        <w:tc>
          <w:tcPr>
            <w:tcW w:w="1600" w:type="dxa"/>
          </w:tcPr>
          <w:p w:rsidR="00C47FF7" w:rsidRDefault="00612CB6">
            <w:r>
              <w:rPr>
                <w:sz w:val="20"/>
                <w:szCs w:val="20"/>
              </w:rPr>
              <w:t>A</w:t>
            </w:r>
          </w:p>
        </w:tc>
        <w:tc>
          <w:tcPr>
            <w:tcW w:w="1600" w:type="dxa"/>
          </w:tcPr>
          <w:p w:rsidR="00C47FF7" w:rsidRDefault="00612CB6">
            <w:r>
              <w:rPr>
                <w:sz w:val="20"/>
                <w:szCs w:val="20"/>
              </w:rPr>
              <w:t>R</w:t>
            </w:r>
          </w:p>
        </w:tc>
      </w:tr>
      <w:tr w:rsidR="00C47FF7">
        <w:tc>
          <w:tcPr>
            <w:tcW w:w="2600" w:type="dxa"/>
            <w:shd w:val="clear" w:color="auto" w:fill="F7F1E6"/>
          </w:tcPr>
          <w:p w:rsidR="00C47FF7" w:rsidRDefault="00612CB6">
            <w:r>
              <w:rPr>
                <w:sz w:val="20"/>
                <w:szCs w:val="20"/>
              </w:rPr>
              <w:t>Post-Publication Check</w:t>
            </w:r>
          </w:p>
        </w:tc>
        <w:tc>
          <w:tcPr>
            <w:tcW w:w="1600" w:type="dxa"/>
            <w:shd w:val="clear" w:color="auto" w:fill="F7F1E6"/>
          </w:tcPr>
          <w:p w:rsidR="00C47FF7" w:rsidRDefault="00612CB6">
            <w:r>
              <w:rPr>
                <w:sz w:val="20"/>
                <w:szCs w:val="20"/>
              </w:rPr>
              <w:t>I</w:t>
            </w:r>
          </w:p>
        </w:tc>
        <w:tc>
          <w:tcPr>
            <w:tcW w:w="1600" w:type="dxa"/>
            <w:shd w:val="clear" w:color="auto" w:fill="F7F1E6"/>
          </w:tcPr>
          <w:p w:rsidR="00C47FF7" w:rsidRDefault="00612CB6">
            <w:r>
              <w:rPr>
                <w:sz w:val="20"/>
                <w:szCs w:val="20"/>
              </w:rPr>
              <w:t>I</w:t>
            </w:r>
          </w:p>
        </w:tc>
        <w:tc>
          <w:tcPr>
            <w:tcW w:w="1600" w:type="dxa"/>
            <w:shd w:val="clear" w:color="auto" w:fill="F7F1E6"/>
          </w:tcPr>
          <w:p w:rsidR="00C47FF7" w:rsidRDefault="00612CB6">
            <w:r>
              <w:rPr>
                <w:sz w:val="20"/>
                <w:szCs w:val="20"/>
              </w:rPr>
              <w:t>I</w:t>
            </w:r>
          </w:p>
        </w:tc>
        <w:tc>
          <w:tcPr>
            <w:tcW w:w="1600" w:type="dxa"/>
            <w:shd w:val="clear" w:color="auto" w:fill="F7F1E6"/>
          </w:tcPr>
          <w:p w:rsidR="00C47FF7" w:rsidRDefault="00612CB6">
            <w:r>
              <w:rPr>
                <w:sz w:val="20"/>
                <w:szCs w:val="20"/>
              </w:rPr>
              <w:t>R/A</w:t>
            </w:r>
          </w:p>
        </w:tc>
      </w:tr>
    </w:tbl>
    <w:p w:rsidR="00C47FF7" w:rsidRDefault="00C47FF7">
      <w:pPr>
        <w:spacing w:after="200"/>
      </w:pPr>
    </w:p>
    <w:p w:rsidR="00C47FF7" w:rsidRDefault="00612CB6">
      <w:pPr>
        <w:pStyle w:val="Heading2"/>
        <w:spacing w:before="260" w:after="140"/>
      </w:pPr>
      <w:r>
        <w:rPr>
          <w:b/>
          <w:bCs/>
          <w:color w:val="1B2A41"/>
        </w:rPr>
        <w:t>3.3 Single Point of Ownership</w:t>
      </w:r>
    </w:p>
    <w:p w:rsidR="00C47FF7" w:rsidRDefault="00612CB6">
      <w:pPr>
        <w:spacing w:after="160" w:line="276" w:lineRule="auto"/>
      </w:pPr>
      <w:r>
        <w:t>Every piece of content has one named Owner for its entire lifecycle, even as responsibility shifts between roles at each stage. The Owner is accountable for the content ultimately being published on schedule.</w:t>
      </w:r>
    </w:p>
    <w:p w:rsidR="00C47FF7" w:rsidRDefault="00612CB6">
      <w:pPr>
        <w:pStyle w:val="Heading2"/>
        <w:spacing w:before="260" w:after="140"/>
      </w:pPr>
      <w:r>
        <w:rPr>
          <w:b/>
          <w:bCs/>
          <w:color w:val="1B2A41"/>
        </w:rPr>
        <w:t>3.4 Handoff Expectations</w:t>
      </w:r>
    </w:p>
    <w:p w:rsidR="00C47FF7" w:rsidRDefault="00612CB6">
      <w:pPr>
        <w:pStyle w:val="ListParagraph"/>
        <w:numPr>
          <w:ilvl w:val="0"/>
          <w:numId w:val="2"/>
        </w:numPr>
        <w:spacing w:after="100"/>
      </w:pPr>
      <w:r>
        <w:t>Each handoff between roles must include clear context: what was done, what's needed next, and any open questions.</w:t>
      </w:r>
    </w:p>
    <w:p w:rsidR="00C47FF7" w:rsidRDefault="00612CB6">
      <w:pPr>
        <w:pStyle w:val="ListParagraph"/>
        <w:numPr>
          <w:ilvl w:val="0"/>
          <w:numId w:val="2"/>
        </w:numPr>
        <w:spacing w:after="100"/>
      </w:pPr>
      <w:r>
        <w:t>Handoffs should never happen silently — the next responsible party must be notified directly, not left to discover the handoff on their own.</w:t>
      </w:r>
    </w:p>
    <w:p w:rsidR="00C47FF7" w:rsidRDefault="00612CB6">
      <w:pPr>
        <w:pStyle w:val="Heading1"/>
        <w:pBdr>
          <w:bottom w:val="single" w:sz="6" w:space="4" w:color="B99A5B"/>
        </w:pBdr>
        <w:spacing w:before="360" w:after="200"/>
      </w:pPr>
      <w:r>
        <w:rPr>
          <w:rFonts w:ascii="Calibri" w:eastAsia="Calibri" w:hAnsi="Calibri" w:cs="Calibri"/>
          <w:b/>
          <w:bCs/>
          <w:color w:val="1B2A41"/>
        </w:rPr>
        <w:t>Section 4: Workflow Governance</w:t>
      </w:r>
    </w:p>
    <w:p w:rsidR="00C47FF7" w:rsidRDefault="00612CB6">
      <w:pPr>
        <w:pStyle w:val="Heading2"/>
        <w:spacing w:before="260" w:after="140"/>
      </w:pPr>
      <w:r>
        <w:rPr>
          <w:b/>
          <w:bCs/>
          <w:color w:val="1B2A41"/>
        </w:rPr>
        <w:t>4.1 Ownership</w:t>
      </w:r>
    </w:p>
    <w:p w:rsidR="00C47FF7" w:rsidRDefault="00612CB6">
      <w:pPr>
        <w:spacing w:after="160" w:line="276" w:lineRule="auto"/>
      </w:pPr>
      <w:r>
        <w:t>The Communications Department owns this publishing workflow and is responsible for its consistent application across all VEGA content.</w:t>
      </w:r>
    </w:p>
    <w:p w:rsidR="00C47FF7" w:rsidRDefault="00612CB6">
      <w:pPr>
        <w:pStyle w:val="Heading2"/>
        <w:spacing w:before="260" w:after="140"/>
      </w:pPr>
      <w:r>
        <w:rPr>
          <w:b/>
          <w:bCs/>
          <w:color w:val="1B2A41"/>
        </w:rPr>
        <w:t>4.2 Review Cycle</w:t>
      </w:r>
    </w:p>
    <w:p w:rsidR="00C47FF7" w:rsidRDefault="00612CB6">
      <w:pPr>
        <w:spacing w:after="160" w:line="276" w:lineRule="auto"/>
      </w:pPr>
      <w:r>
        <w:t>This document is reviewed every six months, or sooner if publishing tools, platforms, or team structure change.</w:t>
      </w:r>
    </w:p>
    <w:p w:rsidR="00C47FF7" w:rsidRDefault="00612CB6">
      <w:pPr>
        <w:pStyle w:val="Heading2"/>
        <w:spacing w:before="260" w:after="140"/>
      </w:pPr>
      <w:r>
        <w:rPr>
          <w:b/>
          <w:bCs/>
          <w:color w:val="1B2A41"/>
        </w:rPr>
        <w:t>4.3 Non-Compliance</w:t>
      </w:r>
    </w:p>
    <w:p w:rsidR="00C47FF7" w:rsidRDefault="00612CB6">
      <w:pPr>
        <w:spacing w:after="160" w:line="276" w:lineRule="auto"/>
      </w:pPr>
      <w:r>
        <w:t>Content published without completing the defined stages or approval checkpoints will be flagged for review, and the responsible parties will be notified.</w:t>
      </w:r>
    </w:p>
    <w:p w:rsidR="00C47FF7" w:rsidRDefault="00612CB6">
      <w:pPr>
        <w:pStyle w:val="Heading2"/>
        <w:spacing w:before="260" w:after="140"/>
      </w:pPr>
      <w:r>
        <w:rPr>
          <w:b/>
          <w:bCs/>
          <w:color w:val="1B2A41"/>
        </w:rPr>
        <w:t>4.4 Feedback &amp; Updates</w:t>
      </w:r>
    </w:p>
    <w:p w:rsidR="00C47FF7" w:rsidRDefault="00612CB6">
      <w:pPr>
        <w:spacing w:after="160" w:line="276" w:lineRule="auto"/>
      </w:pPr>
      <w:r>
        <w:t>Team members may propose changes to this workflow via the internal feedback form, routed to the Communications Department for quarterly review.</w:t>
      </w:r>
    </w:p>
    <w:p w:rsidR="00C47FF7" w:rsidRDefault="00612CB6">
      <w:pPr>
        <w:pStyle w:val="Heading1"/>
        <w:pageBreakBefore/>
        <w:pBdr>
          <w:bottom w:val="single" w:sz="6" w:space="4" w:color="B99A5B"/>
        </w:pBdr>
        <w:spacing w:before="360" w:after="200"/>
      </w:pPr>
      <w:r>
        <w:rPr>
          <w:rFonts w:ascii="Calibri" w:eastAsia="Calibri" w:hAnsi="Calibri" w:cs="Calibri"/>
          <w:b/>
          <w:bCs/>
          <w:color w:val="1B2A41"/>
        </w:rPr>
        <w:lastRenderedPageBreak/>
        <w:t>Document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47FF7">
        <w:tc>
          <w:tcPr>
            <w:tcW w:w="3000" w:type="dxa"/>
            <w:shd w:val="clear" w:color="auto" w:fill="EFEFEF"/>
          </w:tcPr>
          <w:p w:rsidR="00C47FF7" w:rsidRDefault="00612CB6">
            <w:r>
              <w:rPr>
                <w:b/>
                <w:bCs/>
                <w:color w:val="1B2A41"/>
                <w:sz w:val="22"/>
                <w:szCs w:val="22"/>
              </w:rPr>
              <w:t>Prepared for</w:t>
            </w:r>
          </w:p>
        </w:tc>
        <w:tc>
          <w:tcPr>
            <w:tcW w:w="6000" w:type="dxa"/>
          </w:tcPr>
          <w:p w:rsidR="00C47FF7" w:rsidRDefault="00612CB6">
            <w:r>
              <w:rPr>
                <w:sz w:val="22"/>
                <w:szCs w:val="22"/>
              </w:rPr>
              <w:t>Horquva – VEGA Ecosystem</w:t>
            </w:r>
          </w:p>
        </w:tc>
      </w:tr>
      <w:tr w:rsidR="00C47FF7">
        <w:tc>
          <w:tcPr>
            <w:tcW w:w="3000" w:type="dxa"/>
            <w:shd w:val="clear" w:color="auto" w:fill="EFEFEF"/>
          </w:tcPr>
          <w:p w:rsidR="00C47FF7" w:rsidRDefault="00612CB6">
            <w:r>
              <w:rPr>
                <w:b/>
                <w:bCs/>
                <w:color w:val="1B2A41"/>
                <w:sz w:val="22"/>
                <w:szCs w:val="22"/>
              </w:rPr>
              <w:t>Department</w:t>
            </w:r>
          </w:p>
        </w:tc>
        <w:tc>
          <w:tcPr>
            <w:tcW w:w="6000" w:type="dxa"/>
          </w:tcPr>
          <w:p w:rsidR="00C47FF7" w:rsidRDefault="00612CB6">
            <w:r>
              <w:rPr>
                <w:sz w:val="22"/>
                <w:szCs w:val="22"/>
              </w:rPr>
              <w:t>Communications Department</w:t>
            </w:r>
          </w:p>
        </w:tc>
      </w:tr>
      <w:tr w:rsidR="00C47FF7">
        <w:tc>
          <w:tcPr>
            <w:tcW w:w="3000" w:type="dxa"/>
            <w:shd w:val="clear" w:color="auto" w:fill="EFEFEF"/>
          </w:tcPr>
          <w:p w:rsidR="00C47FF7" w:rsidRDefault="00612CB6">
            <w:r>
              <w:rPr>
                <w:b/>
                <w:bCs/>
                <w:color w:val="1B2A41"/>
                <w:sz w:val="22"/>
                <w:szCs w:val="22"/>
              </w:rPr>
              <w:t>Version</w:t>
            </w:r>
          </w:p>
        </w:tc>
        <w:tc>
          <w:tcPr>
            <w:tcW w:w="6000" w:type="dxa"/>
          </w:tcPr>
          <w:p w:rsidR="00C47FF7" w:rsidRDefault="00612CB6">
            <w:r>
              <w:rPr>
                <w:sz w:val="22"/>
                <w:szCs w:val="22"/>
              </w:rPr>
              <w:t>1.0</w:t>
            </w:r>
          </w:p>
        </w:tc>
      </w:tr>
      <w:tr w:rsidR="00C47FF7">
        <w:tc>
          <w:tcPr>
            <w:tcW w:w="3000" w:type="dxa"/>
            <w:shd w:val="clear" w:color="auto" w:fill="EFEFEF"/>
          </w:tcPr>
          <w:p w:rsidR="00C47FF7" w:rsidRDefault="00612CB6">
            <w:r>
              <w:rPr>
                <w:b/>
                <w:bCs/>
                <w:color w:val="1B2A41"/>
                <w:sz w:val="22"/>
                <w:szCs w:val="22"/>
              </w:rPr>
              <w:t>Date</w:t>
            </w:r>
          </w:p>
        </w:tc>
        <w:tc>
          <w:tcPr>
            <w:tcW w:w="6000" w:type="dxa"/>
          </w:tcPr>
          <w:p w:rsidR="00C47FF7" w:rsidRDefault="00612CB6">
            <w:r>
              <w:rPr>
                <w:sz w:val="22"/>
                <w:szCs w:val="22"/>
              </w:rPr>
              <w:t>August 7, 2026</w:t>
            </w:r>
          </w:p>
        </w:tc>
      </w:tr>
    </w:tbl>
    <w:p w:rsidR="00612CB6" w:rsidRDefault="00612CB6">
      <w:bookmarkStart w:id="0" w:name="_GoBack"/>
      <w:bookmarkEnd w:id="0"/>
    </w:p>
    <w:sectPr w:rsidR="00612CB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98D" w:rsidRDefault="008E698D">
      <w:r>
        <w:separator/>
      </w:r>
    </w:p>
  </w:endnote>
  <w:endnote w:type="continuationSeparator" w:id="0">
    <w:p w:rsidR="008E698D" w:rsidRDefault="008E6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FF7" w:rsidRDefault="00C47FF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FF7" w:rsidRDefault="00C47FF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FF7" w:rsidRDefault="00612CB6">
    <w:pPr>
      <w:pBdr>
        <w:top w:val="single" w:sz="4" w:space="4" w:color="BBBBBB"/>
      </w:pBdr>
      <w:tabs>
        <w:tab w:val="right" w:pos="9026"/>
      </w:tabs>
    </w:pPr>
    <w:r>
      <w:rPr>
        <w:rFonts w:ascii="Calibri" w:eastAsia="Calibri" w:hAnsi="Calibri" w:cs="Calibri"/>
        <w:color w:val="6E6E6E"/>
        <w:sz w:val="16"/>
        <w:szCs w:val="16"/>
      </w:rPr>
      <w:t>CONFIDENTIAL &amp; PROPRIETARY</w:t>
    </w:r>
    <w:r>
      <w:rPr>
        <w:rFonts w:ascii="Calibri" w:eastAsia="Calibri" w:hAnsi="Calibri" w:cs="Calibri"/>
        <w:sz w:val="16"/>
        <w:szCs w:val="16"/>
      </w:rPr>
      <w:tab/>
    </w: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Pr>
        <w:rFonts w:ascii="Calibri" w:eastAsia="Calibri" w:hAnsi="Calibri" w:cs="Calibri"/>
        <w:color w:val="6E6E6E"/>
        <w:sz w:val="16"/>
        <w:szCs w:val="16"/>
      </w:rPr>
      <w:fldChar w:fldCharType="separate"/>
    </w:r>
    <w:r w:rsidR="004453CB">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r>
      <w:rPr>
        <w:rFonts w:ascii="Calibri" w:eastAsia="Calibri" w:hAnsi="Calibri" w:cs="Calibri"/>
        <w:color w:val="6E6E6E"/>
        <w:sz w:val="16"/>
        <w:szCs w:val="16"/>
      </w:rPr>
      <w:t xml:space="preserve"> of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NUMPAGES</w:instrText>
    </w:r>
    <w:r>
      <w:rPr>
        <w:rFonts w:ascii="Calibri" w:eastAsia="Calibri" w:hAnsi="Calibri" w:cs="Calibri"/>
        <w:color w:val="6E6E6E"/>
        <w:sz w:val="16"/>
        <w:szCs w:val="16"/>
      </w:rPr>
      <w:fldChar w:fldCharType="separate"/>
    </w:r>
    <w:r w:rsidR="004453CB">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98D" w:rsidRDefault="008E698D">
      <w:r>
        <w:separator/>
      </w:r>
    </w:p>
  </w:footnote>
  <w:footnote w:type="continuationSeparator" w:id="0">
    <w:p w:rsidR="008E698D" w:rsidRDefault="008E69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FF7" w:rsidRDefault="00C47FF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FF7" w:rsidRDefault="00C47FF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FF7" w:rsidRDefault="00612CB6">
    <w:pPr>
      <w:pBdr>
        <w:bottom w:val="single" w:sz="4" w:space="4" w:color="BBBBBB"/>
      </w:pBdr>
      <w:tabs>
        <w:tab w:val="right" w:pos="9026"/>
      </w:tabs>
    </w:pPr>
    <w:r>
      <w:rPr>
        <w:rFonts w:ascii="Calibri" w:eastAsia="Calibri" w:hAnsi="Calibri" w:cs="Calibri"/>
        <w:caps/>
        <w:color w:val="6E6E6E"/>
        <w:sz w:val="16"/>
        <w:szCs w:val="16"/>
      </w:rPr>
      <w:t>HORQUVA®   |   VEGA PUBLISHING WORKFLOWS — Volume V</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0C94"/>
    <w:multiLevelType w:val="hybridMultilevel"/>
    <w:tmpl w:val="61B010DC"/>
    <w:lvl w:ilvl="0" w:tplc="4B52D7AC">
      <w:start w:val="1"/>
      <w:numFmt w:val="bullet"/>
      <w:lvlText w:val="•"/>
      <w:lvlJc w:val="left"/>
      <w:pPr>
        <w:ind w:left="520" w:hanging="260"/>
      </w:pPr>
    </w:lvl>
    <w:lvl w:ilvl="1" w:tplc="5F222962">
      <w:numFmt w:val="decimal"/>
      <w:lvlText w:val=""/>
      <w:lvlJc w:val="left"/>
    </w:lvl>
    <w:lvl w:ilvl="2" w:tplc="F85EB198">
      <w:numFmt w:val="decimal"/>
      <w:lvlText w:val=""/>
      <w:lvlJc w:val="left"/>
    </w:lvl>
    <w:lvl w:ilvl="3" w:tplc="C1A2D946">
      <w:numFmt w:val="decimal"/>
      <w:lvlText w:val=""/>
      <w:lvlJc w:val="left"/>
    </w:lvl>
    <w:lvl w:ilvl="4" w:tplc="FE824EEC">
      <w:numFmt w:val="decimal"/>
      <w:lvlText w:val=""/>
      <w:lvlJc w:val="left"/>
    </w:lvl>
    <w:lvl w:ilvl="5" w:tplc="2DEAB126">
      <w:numFmt w:val="decimal"/>
      <w:lvlText w:val=""/>
      <w:lvlJc w:val="left"/>
    </w:lvl>
    <w:lvl w:ilvl="6" w:tplc="A0CAE1B0">
      <w:numFmt w:val="decimal"/>
      <w:lvlText w:val=""/>
      <w:lvlJc w:val="left"/>
    </w:lvl>
    <w:lvl w:ilvl="7" w:tplc="A0D8FCF4">
      <w:numFmt w:val="decimal"/>
      <w:lvlText w:val=""/>
      <w:lvlJc w:val="left"/>
    </w:lvl>
    <w:lvl w:ilvl="8" w:tplc="DCA09BEA">
      <w:numFmt w:val="decimal"/>
      <w:lvlText w:val=""/>
      <w:lvlJc w:val="left"/>
    </w:lvl>
  </w:abstractNum>
  <w:abstractNum w:abstractNumId="1" w15:restartNumberingAfterBreak="0">
    <w:nsid w:val="21C40BED"/>
    <w:multiLevelType w:val="hybridMultilevel"/>
    <w:tmpl w:val="7C4E4558"/>
    <w:lvl w:ilvl="0" w:tplc="AA54CDB4">
      <w:start w:val="1"/>
      <w:numFmt w:val="bullet"/>
      <w:lvlText w:val="●"/>
      <w:lvlJc w:val="left"/>
      <w:pPr>
        <w:ind w:left="720" w:hanging="360"/>
      </w:pPr>
    </w:lvl>
    <w:lvl w:ilvl="1" w:tplc="2A044456">
      <w:start w:val="1"/>
      <w:numFmt w:val="bullet"/>
      <w:lvlText w:val="○"/>
      <w:lvlJc w:val="left"/>
      <w:pPr>
        <w:ind w:left="1440" w:hanging="360"/>
      </w:pPr>
    </w:lvl>
    <w:lvl w:ilvl="2" w:tplc="0298E312">
      <w:start w:val="1"/>
      <w:numFmt w:val="bullet"/>
      <w:lvlText w:val="■"/>
      <w:lvlJc w:val="left"/>
      <w:pPr>
        <w:ind w:left="2160" w:hanging="360"/>
      </w:pPr>
    </w:lvl>
    <w:lvl w:ilvl="3" w:tplc="D24AFD64">
      <w:start w:val="1"/>
      <w:numFmt w:val="bullet"/>
      <w:lvlText w:val="●"/>
      <w:lvlJc w:val="left"/>
      <w:pPr>
        <w:ind w:left="2880" w:hanging="360"/>
      </w:pPr>
    </w:lvl>
    <w:lvl w:ilvl="4" w:tplc="84C62DFC">
      <w:start w:val="1"/>
      <w:numFmt w:val="bullet"/>
      <w:lvlText w:val="○"/>
      <w:lvlJc w:val="left"/>
      <w:pPr>
        <w:ind w:left="3600" w:hanging="360"/>
      </w:pPr>
    </w:lvl>
    <w:lvl w:ilvl="5" w:tplc="611AA7BE">
      <w:start w:val="1"/>
      <w:numFmt w:val="bullet"/>
      <w:lvlText w:val="■"/>
      <w:lvlJc w:val="left"/>
      <w:pPr>
        <w:ind w:left="4320" w:hanging="360"/>
      </w:pPr>
    </w:lvl>
    <w:lvl w:ilvl="6" w:tplc="C2D4EF50">
      <w:start w:val="1"/>
      <w:numFmt w:val="bullet"/>
      <w:lvlText w:val="●"/>
      <w:lvlJc w:val="left"/>
      <w:pPr>
        <w:ind w:left="5040" w:hanging="360"/>
      </w:pPr>
    </w:lvl>
    <w:lvl w:ilvl="7" w:tplc="75607F1C">
      <w:start w:val="1"/>
      <w:numFmt w:val="bullet"/>
      <w:lvlText w:val="●"/>
      <w:lvlJc w:val="left"/>
      <w:pPr>
        <w:ind w:left="5760" w:hanging="360"/>
      </w:pPr>
    </w:lvl>
    <w:lvl w:ilvl="8" w:tplc="D1DA1C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FF7"/>
    <w:rsid w:val="00283C41"/>
    <w:rsid w:val="004453CB"/>
    <w:rsid w:val="004B3711"/>
    <w:rsid w:val="00612CB6"/>
    <w:rsid w:val="006B1E22"/>
    <w:rsid w:val="008E698D"/>
    <w:rsid w:val="009C04C2"/>
    <w:rsid w:val="00C47F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FBC0"/>
  <w15:docId w15:val="{391F3092-89A6-4884-8710-356D7359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2026-08-08T13:19:00Z</dcterms:created>
  <dcterms:modified xsi:type="dcterms:W3CDTF">2026-08-14T10:45:00Z</dcterms:modified>
</cp:coreProperties>
</file>