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i w:val="false"/>
          <w:iCs w:val="false"/>
          <w:color w:val="1B3A5C"/>
          <w:sz w:val="48"/>
          <w:szCs w:val="48"/>
        </w:rPr>
        <w:t xml:space="preserve">THINKSCRIPT SIGNAL BADGE</w:t>
      </w:r>
    </w:p>
    <w:p>
      <w:pPr>
        <w:spacing w:after="120"/>
        <w:jc w:val="center"/>
      </w:pPr>
      <w:r>
        <w:rPr>
          <w:rFonts w:ascii="Arial" w:cs="Arial" w:eastAsia="Arial" w:hAnsi="Arial"/>
          <w:b w:val="false"/>
          <w:bCs w:val="false"/>
          <w:i w:val="false"/>
          <w:iCs w:val="false"/>
          <w:color w:val="2E75B6"/>
          <w:sz w:val="36"/>
          <w:szCs w:val="36"/>
        </w:rPr>
        <w:t xml:space="preserve">Execution Plan</w:t>
      </w:r>
    </w:p>
    <w:p>
      <w:pPr>
        <w:pBdr>
          <w:bottom w:val="single" w:color="2E75B6" w:sz="6" w:space="1"/>
        </w:pBdr>
        <w:spacing w:after="600"/>
        <w:jc w:val="center"/>
      </w:pPr>
      <w:r>
        <w:rPr>
          <w:rFonts w:ascii="Arial" w:cs="Arial" w:eastAsia="Arial" w:hAnsi="Arial"/>
          <w:b w:val="false"/>
          <w:bCs w:val="false"/>
          <w:i w:val="false"/>
          <w:iCs w:val="false"/>
          <w:color w:val="2D2D2D"/>
          <w:sz w:val="22"/>
          <w:szCs w:val="22"/>
        </w:rPr>
        <w:t xml:space="preserve"> </w:t>
      </w:r>
    </w:p>
    <w:p>
      <w:pPr>
        <w:spacing w:after="100"/>
        <w:jc w:val="center"/>
      </w:pPr>
      <w:r>
        <w:rPr>
          <w:rFonts w:ascii="Arial" w:cs="Arial" w:eastAsia="Arial" w:hAnsi="Arial"/>
          <w:b w:val="false"/>
          <w:bCs w:val="false"/>
          <w:i w:val="false"/>
          <w:iCs w:val="false"/>
          <w:color w:val="666666"/>
          <w:sz w:val="24"/>
          <w:szCs w:val="24"/>
        </w:rPr>
        <w:t xml:space="preserve">Composite Indicator Scoring System for ThinkorSwim</w:t>
      </w:r>
    </w:p>
    <w:p>
      <w:pPr>
        <w:spacing w:after="100"/>
        <w:jc w:val="center"/>
      </w:pPr>
      <w:r>
        <w:rPr>
          <w:rFonts w:ascii="Arial" w:cs="Arial" w:eastAsia="Arial" w:hAnsi="Arial"/>
          <w:b w:val="false"/>
          <w:bCs w:val="false"/>
          <w:i w:val="false"/>
          <w:iCs w:val="false"/>
          <w:color w:val="666666"/>
          <w:sz w:val="22"/>
          <w:szCs w:val="22"/>
        </w:rPr>
        <w:t xml:space="preserve">Version 2.0 — Revised Methodology</w:t>
      </w:r>
    </w:p>
    <w:p>
      <w:pPr>
        <w:spacing w:after="100"/>
        <w:jc w:val="center"/>
      </w:pPr>
      <w:r>
        <w:rPr>
          <w:rFonts w:ascii="Arial" w:cs="Arial" w:eastAsia="Arial" w:hAnsi="Arial"/>
          <w:b w:val="false"/>
          <w:bCs w:val="false"/>
          <w:i w:val="false"/>
          <w:iCs w:val="false"/>
          <w:color w:val="666666"/>
          <w:sz w:val="22"/>
          <w:szCs w:val="22"/>
        </w:rPr>
        <w:t xml:space="preserve">April 2026</w:t>
      </w:r>
    </w:p>
    <w:p>
      <w:pPr>
        <w:spacing w:before="2400"/>
      </w:pPr>
    </w:p>
    <w:p>
      <w:pPr>
        <w:spacing w:after="80"/>
        <w:jc w:val="center"/>
      </w:pPr>
      <w:r>
        <w:rPr>
          <w:rFonts w:ascii="Arial" w:cs="Arial" w:eastAsia="Arial" w:hAnsi="Arial"/>
          <w:b/>
          <w:bCs/>
          <w:i w:val="false"/>
          <w:iCs w:val="false"/>
          <w:color w:val="C62828"/>
          <w:sz w:val="18"/>
          <w:szCs w:val="18"/>
        </w:rPr>
        <w:t xml:space="preserve">CONFIDENTIAL — FOR PERSONAL TRADING USE ONLY</w:t>
      </w:r>
    </w:p>
    <w:p>
      <w:pPr>
        <w:jc w:val="center"/>
      </w:pPr>
      <w:r>
        <w:rPr>
          <w:rFonts w:ascii="Arial" w:cs="Arial" w:eastAsia="Arial" w:hAnsi="Arial"/>
          <w:b w:val="false"/>
          <w:bCs w:val="false"/>
          <w:i/>
          <w:iCs/>
          <w:color w:val="666666"/>
          <w:sz w:val="18"/>
          <w:szCs w:val="18"/>
        </w:rPr>
        <w:t xml:space="preserve">This document is not financial advice. All indicator systems must be backtested before live use.</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Executive Summary</w:t>
      </w:r>
    </w:p>
    <w:p>
      <w:pPr>
        <w:spacing w:after="160" w:line="276"/>
      </w:pPr>
      <w:r>
        <w:rPr>
          <w:rFonts w:ascii="Arial" w:cs="Arial" w:eastAsia="Arial" w:hAnsi="Arial"/>
          <w:b w:val="false"/>
          <w:bCs w:val="false"/>
          <w:i w:val="false"/>
          <w:iCs w:val="false"/>
          <w:color w:val="2D2D2D"/>
          <w:sz w:val="22"/>
          <w:szCs w:val="22"/>
        </w:rPr>
        <w:t xml:space="preserve">This execution plan defines the complete build-out of a ThinkScript composite signal badge for ThinkorSwim. The badge consolidates seven distinct indicator categories into a single weighted score, displayed as a color-coded label on the price chart. The methodology has been revised from the original blueprint to address multicollinearity, threshold alignment, and override logic based on institutional best practices.</w:t>
      </w:r>
    </w:p>
    <w:p>
      <w:pPr>
        <w:spacing w:after="160" w:line="276"/>
      </w:pPr>
      <w:r>
        <w:rPr>
          <w:rFonts w:ascii="Arial" w:cs="Arial" w:eastAsia="Arial" w:hAnsi="Arial"/>
          <w:b w:val="false"/>
          <w:bCs w:val="false"/>
          <w:i w:val="false"/>
          <w:iCs w:val="false"/>
          <w:color w:val="2D2D2D"/>
          <w:sz w:val="22"/>
          <w:szCs w:val="22"/>
        </w:rPr>
        <w:t xml:space="preserve">The plan is organized into five phases: foundation and environment setup, indicator recalculation engine, scoring and override logic, display and label rendering, and validation and backtesting. Each phase includes specific deliverables, acceptance criteria, and known risks.</w:t>
      </w:r>
    </w:p>
    <w:p>
      <w:pPr>
        <w:pStyle w:val="Heading1"/>
        <w:spacing w:after="200" w:before="360"/>
      </w:pPr>
      <w:r>
        <w:rPr>
          <w:rFonts w:ascii="Arial" w:cs="Arial" w:eastAsia="Arial" w:hAnsi="Arial"/>
          <w:b/>
          <w:bCs/>
          <w:color w:val="1B3A5C"/>
          <w:sz w:val="32"/>
          <w:szCs w:val="32"/>
        </w:rPr>
        <w:t xml:space="preserve">2. Revised Architecture</w:t>
      </w:r>
    </w:p>
    <w:p>
      <w:pPr>
        <w:pStyle w:val="Heading2"/>
        <w:spacing w:after="160" w:before="280"/>
      </w:pPr>
      <w:r>
        <w:rPr>
          <w:rFonts w:ascii="Arial" w:cs="Arial" w:eastAsia="Arial" w:hAnsi="Arial"/>
          <w:b/>
          <w:bCs/>
          <w:color w:val="2E75B6"/>
          <w:sz w:val="26"/>
          <w:szCs w:val="26"/>
        </w:rPr>
        <w:t xml:space="preserve">2.1 Signal Output</w:t>
      </w:r>
    </w:p>
    <w:p>
      <w:pPr>
        <w:spacing w:after="160" w:line="276"/>
      </w:pPr>
      <w:r>
        <w:rPr>
          <w:rFonts w:ascii="Arial" w:cs="Arial" w:eastAsia="Arial" w:hAnsi="Arial"/>
          <w:b w:val="false"/>
          <w:bCs w:val="false"/>
          <w:i w:val="false"/>
          <w:iCs w:val="false"/>
          <w:color w:val="2D2D2D"/>
          <w:sz w:val="22"/>
          <w:szCs w:val="22"/>
        </w:rPr>
        <w:t xml:space="preserve">The badge displays one of five states on each confirmed bar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2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 Range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Signal Badge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Color</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Bias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+9 to +11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bCs/>
                <w:color w:val="2E7D32"/>
                <w:sz w:val="20"/>
                <w:szCs w:val="20"/>
              </w:rPr>
              <w:t xml:space="preserve">STRONG BUY — CALL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Bright Green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High conviction</w:t>
            </w:r>
          </w:p>
        </w:tc>
      </w:tr>
      <w:tr>
        <w:tc>
          <w:tcPr>
            <w:tcW w:type="dxa" w:w="2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+5 to +8</w:t>
            </w:r>
          </w:p>
        </w:tc>
        <w:tc>
          <w:tcPr>
            <w:tcW w:type="dxa" w:w="3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4CAF50"/>
                <w:sz w:val="20"/>
                <w:szCs w:val="20"/>
              </w:rPr>
              <w:t xml:space="preserve">WEAK BUY — CALL</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Light Green</w:t>
            </w:r>
          </w:p>
        </w:tc>
        <w:tc>
          <w:tcPr>
            <w:tcW w:type="dxa" w:w="21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Moderate conviction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-4 to +4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666666"/>
                <w:sz w:val="20"/>
                <w:szCs w:val="20"/>
              </w:rPr>
              <w:t xml:space="preserve">NO TRADE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Gray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Stand aside</w:t>
            </w:r>
          </w:p>
        </w:tc>
      </w:tr>
      <w:tr>
        <w:tc>
          <w:tcPr>
            <w:tcW w:type="dxa" w:w="2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-5 to -8</w:t>
            </w:r>
          </w:p>
        </w:tc>
        <w:tc>
          <w:tcPr>
            <w:tcW w:type="dxa" w:w="3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E65100"/>
                <w:sz w:val="20"/>
                <w:szCs w:val="20"/>
              </w:rPr>
              <w:t xml:space="preserve">WEAK SELL — PUT</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Light Red</w:t>
            </w:r>
          </w:p>
        </w:tc>
        <w:tc>
          <w:tcPr>
            <w:tcW w:type="dxa" w:w="21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Moderate conviction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-9 to -11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bCs/>
                <w:color w:val="C62828"/>
                <w:sz w:val="20"/>
                <w:szCs w:val="20"/>
              </w:rPr>
              <w:t xml:space="preserve">STRONG SELL — 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Bright Red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High conviction</w:t>
            </w:r>
          </w:p>
        </w:tc>
      </w:tr>
    </w:tbl>
    <w:p>
      <w:pPr>
        <w:spacing w:after="160" w:line="276"/>
      </w:pPr>
      <w:r>
        <w:rPr>
          <w:rFonts w:ascii="Arial" w:cs="Arial" w:eastAsia="Arial" w:hAnsi="Arial"/>
          <w:b w:val="false"/>
          <w:bCs w:val="false"/>
          <w:i/>
          <w:iCs/>
          <w:color w:val="2D2D2D"/>
          <w:sz w:val="22"/>
          <w:szCs w:val="22"/>
        </w:rPr>
        <w:t xml:space="preserve">Note: Score ranges are based on the revised weighted system (max ±11). Thresholds should be refined during backtesting in Phase 5.</w:t>
      </w:r>
    </w:p>
    <w:p>
      <w:pPr>
        <w:pStyle w:val="Heading2"/>
        <w:spacing w:after="160" w:before="280"/>
      </w:pPr>
      <w:r>
        <w:rPr>
          <w:rFonts w:ascii="Arial" w:cs="Arial" w:eastAsia="Arial" w:hAnsi="Arial"/>
          <w:b/>
          <w:bCs/>
          <w:color w:val="2E75B6"/>
          <w:sz w:val="26"/>
          <w:szCs w:val="26"/>
        </w:rPr>
        <w:t xml:space="preserve">2.2 Indicator Inventory (Revised from 8 to 7 Votes)</w:t>
      </w:r>
    </w:p>
    <w:p>
      <w:pPr>
        <w:spacing w:after="160" w:line="276"/>
      </w:pPr>
      <w:r>
        <w:rPr>
          <w:rFonts w:ascii="Arial" w:cs="Arial" w:eastAsia="Arial" w:hAnsi="Arial"/>
          <w:b w:val="false"/>
          <w:bCs w:val="false"/>
          <w:i w:val="false"/>
          <w:iCs w:val="false"/>
          <w:color w:val="2D2D2D"/>
          <w:sz w:val="22"/>
          <w:szCs w:val="22"/>
        </w:rPr>
        <w:t xml:space="preserve">The original blueprint scored TTM Squeeze dots and histogram as two separate votes. This has been consolidated into a single composite vote to eliminate multicollinearity, per John Bollinger’s cardinal rule against multiple-counting the same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1800"/>
        <w:gridCol w:w="1200"/>
        <w:gridCol w:w="21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Indicator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Weight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Bullish</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Bearish</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Neutral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bCs/>
                <w:color w:val="2D2D2D"/>
                <w:sz w:val="20"/>
                <w:szCs w:val="20"/>
              </w:rPr>
              <w:t xml:space="preserve">SuperTrend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Trend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bCs/>
                <w:color w:val="2E7D32"/>
                <w:sz w:val="20"/>
                <w:szCs w:val="20"/>
              </w:rPr>
              <w:t xml:space="preserve">2 (Tier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Close &gt; ST 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See override</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bCs/>
                <w:color w:val="2D2D2D"/>
                <w:sz w:val="20"/>
                <w:szCs w:val="20"/>
              </w:rPr>
              <w:t xml:space="preserve">VWAP</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Volume</w:t>
            </w:r>
          </w:p>
        </w:tc>
        <w:tc>
          <w:tcPr>
            <w:tcW w:type="dxa" w:w="1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bCs/>
                <w:color w:val="2E7D32"/>
                <w:sz w:val="20"/>
                <w:szCs w:val="20"/>
              </w:rPr>
              <w:t xml:space="preserve">2 (Tier 1)</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Close &gt; VWAP</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-2</w:t>
            </w:r>
          </w:p>
        </w:tc>
        <w:tc>
          <w:tcPr>
            <w:tcW w:type="dxa" w:w="21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Close = VWAP: 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bCs/>
                <w:color w:val="2D2D2D"/>
                <w:sz w:val="20"/>
                <w:szCs w:val="20"/>
              </w:rPr>
              <w:t xml:space="preserve">TTM Squeeze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Momentum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bCs/>
                <w:color w:val="2E7D32"/>
                <w:sz w:val="20"/>
                <w:szCs w:val="20"/>
              </w:rPr>
              <w:t xml:space="preserve">2 (Tier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Fired + green hist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Squeeze on: 0</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bCs/>
                <w:color w:val="2D2D2D"/>
                <w:sz w:val="20"/>
                <w:szCs w:val="20"/>
              </w:rPr>
              <w:t xml:space="preserve">15m HTF Bias</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Trend</w:t>
            </w:r>
          </w:p>
        </w:tc>
        <w:tc>
          <w:tcPr>
            <w:tcW w:type="dxa" w:w="1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1 (Tier 2)</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HTF bullish</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-1</w:t>
            </w:r>
          </w:p>
        </w:tc>
        <w:tc>
          <w:tcPr>
            <w:tcW w:type="dxa" w:w="21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N/A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bCs/>
                <w:color w:val="2D2D2D"/>
                <w:sz w:val="20"/>
                <w:szCs w:val="20"/>
              </w:rPr>
              <w:t xml:space="preserve">Volume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Volume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1 (Tier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&gt; VolumeAvg(50)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Below avg: penalty</w:t>
            </w:r>
          </w:p>
        </w:tc>
      </w:tr>
      <w:tr>
        <w:tc>
          <w:tcPr>
            <w:tcW w:type="dxa" w:w="1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bCs/>
                <w:color w:val="2D2D2D"/>
                <w:sz w:val="20"/>
                <w:szCs w:val="20"/>
              </w:rPr>
              <w:t xml:space="preserve">ADX</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Strength</w:t>
            </w:r>
          </w:p>
        </w:tc>
        <w:tc>
          <w:tcPr>
            <w:tcW w:type="dxa" w:w="14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1 (Tier 2)</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ADX &gt; 25 + rising</w:t>
            </w:r>
          </w:p>
        </w:tc>
        <w:tc>
          <w:tcPr>
            <w:tcW w:type="dxa" w:w="1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0</w:t>
            </w:r>
          </w:p>
        </w:tc>
        <w:tc>
          <w:tcPr>
            <w:tcW w:type="dxa" w:w="21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&lt; 25: see override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bCs/>
                <w:color w:val="2D2D2D"/>
                <w:sz w:val="20"/>
                <w:szCs w:val="20"/>
              </w:rPr>
              <w:t xml:space="preserve">Pivot / ScalerAlert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Structure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1 (Tier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Close &gt; PP or PivotLow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No signal: 0</w:t>
            </w:r>
          </w:p>
        </w:tc>
      </w:tr>
    </w:tbl>
    <w:p>
      <w:pPr>
        <w:spacing w:after="160" w:line="276"/>
      </w:pPr>
      <w:r>
        <w:rPr>
          <w:rFonts w:ascii="Arial" w:cs="Arial" w:eastAsia="Arial" w:hAnsi="Arial"/>
          <w:b/>
          <w:bCs/>
          <w:i w:val="false"/>
          <w:iCs w:val="false"/>
          <w:color w:val="2D2D2D"/>
          <w:sz w:val="22"/>
          <w:szCs w:val="22"/>
        </w:rPr>
        <w:t xml:space="preserve">Maximum weighted score: </w:t>
      </w:r>
      <w:r>
        <w:rPr>
          <w:rFonts w:ascii="Arial" w:cs="Arial" w:eastAsia="Arial" w:hAnsi="Arial"/>
          <w:b/>
          <w:bCs/>
          <w:i w:val="false"/>
          <w:iCs w:val="false"/>
          <w:color w:val="1B3A5C"/>
          <w:sz w:val="22"/>
          <w:szCs w:val="22"/>
        </w:rPr>
        <w:t xml:space="preserve">+11 bullish / -11 bearish. </w:t>
      </w:r>
      <w:r>
        <w:rPr>
          <w:rFonts w:ascii="Arial" w:cs="Arial" w:eastAsia="Arial" w:hAnsi="Arial"/>
          <w:b w:val="false"/>
          <w:bCs w:val="false"/>
          <w:i w:val="false"/>
          <w:iCs w:val="false"/>
          <w:color w:val="2D2D2D"/>
          <w:sz w:val="22"/>
          <w:szCs w:val="22"/>
        </w:rPr>
        <w:t xml:space="preserve">Tier 1 indicators (SuperTrend, VWAP, TTM Squeeze) carry double weight because they represent the institutional benchmark (VWAP), primary trend direction (SuperTrend), and volatility-momentum setup (TTM Squeeze).</w:t>
      </w:r>
    </w:p>
    <w:p>
      <w:pPr>
        <w:pStyle w:val="Heading2"/>
        <w:spacing w:after="160" w:before="280"/>
      </w:pPr>
      <w:r>
        <w:rPr>
          <w:rFonts w:ascii="Arial" w:cs="Arial" w:eastAsia="Arial" w:hAnsi="Arial"/>
          <w:b/>
          <w:bCs/>
          <w:color w:val="2E75B6"/>
          <w:sz w:val="26"/>
          <w:szCs w:val="26"/>
        </w:rPr>
        <w:t xml:space="preserve">2.3 Override Logic (Revised)</w:t>
      </w:r>
    </w:p>
    <w:p>
      <w:pPr>
        <w:spacing w:after="160" w:line="276"/>
      </w:pPr>
      <w:r>
        <w:rPr>
          <w:rFonts w:ascii="Arial" w:cs="Arial" w:eastAsia="Arial" w:hAnsi="Arial"/>
          <w:b w:val="false"/>
          <w:bCs w:val="false"/>
          <w:i w:val="false"/>
          <w:iCs w:val="false"/>
          <w:color w:val="2D2D2D"/>
          <w:sz w:val="22"/>
          <w:szCs w:val="22"/>
        </w:rPr>
        <w:t xml:space="preserve">The original blueprint used four hard NO TRADE overrides. Two have been converted to score penalties to eliminate internal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Original Action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Revised Action</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ADX &lt; 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Hard NO TRADE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bCs/>
                <w:color w:val="C62828"/>
                <w:sz w:val="20"/>
                <w:szCs w:val="20"/>
              </w:rPr>
              <w:t xml:space="preserve">Hard NO TRADE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Wilder: trend absent</w:t>
            </w:r>
          </w:p>
        </w:tc>
      </w:tr>
      <w:tr>
        <w:tc>
          <w:tcPr>
            <w:tcW w:type="dxa" w:w="2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ADX 20–25</w:t>
            </w:r>
          </w:p>
        </w:tc>
        <w:tc>
          <w:tcPr>
            <w:tcW w:type="dxa" w:w="2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Not addressed</w:t>
            </w:r>
          </w:p>
        </w:tc>
        <w:tc>
          <w:tcPr>
            <w:tcW w:type="dxa" w:w="2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bCs/>
                <w:color w:val="E65100"/>
                <w:sz w:val="20"/>
                <w:szCs w:val="20"/>
              </w:rPr>
              <w:t xml:space="preserve">Score penalty: -2</w:t>
            </w:r>
          </w:p>
        </w:tc>
        <w:tc>
          <w:tcPr>
            <w:tcW w:type="dxa" w:w="21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Gray zone per Wilder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Volume &lt; average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Hard NO TRADE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bCs/>
                <w:color w:val="E65100"/>
                <w:sz w:val="20"/>
                <w:szCs w:val="20"/>
              </w:rPr>
              <w:t xml:space="preserve">Score penalty: -2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Contradicts squeeze</w:t>
            </w:r>
          </w:p>
        </w:tc>
      </w:tr>
      <w:tr>
        <w:tc>
          <w:tcPr>
            <w:tcW w:type="dxa" w:w="2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ST/HTF conflict</w:t>
            </w:r>
          </w:p>
        </w:tc>
        <w:tc>
          <w:tcPr>
            <w:tcW w:type="dxa" w:w="2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Hard NO TRADE</w:t>
            </w:r>
          </w:p>
        </w:tc>
        <w:tc>
          <w:tcPr>
            <w:tcW w:type="dxa" w:w="2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bCs/>
                <w:color w:val="E65100"/>
                <w:sz w:val="20"/>
                <w:szCs w:val="20"/>
              </w:rPr>
              <w:t xml:space="preserve">Score penalty: -3</w:t>
            </w:r>
          </w:p>
        </w:tc>
        <w:tc>
          <w:tcPr>
            <w:tcW w:type="dxa" w:w="21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LTF can lead turn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Active indicators &lt;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Not addressed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bCs/>
                <w:color w:val="C62828"/>
                <w:sz w:val="20"/>
                <w:szCs w:val="20"/>
              </w:rPr>
              <w:t xml:space="preserve">INSUFFICIENT DATA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Prevents false signals</w:t>
            </w:r>
          </w:p>
        </w:tc>
      </w:tr>
    </w:tbl>
    <w:p>
      <w:pPr>
        <w:spacing w:after="160" w:line="276"/>
      </w:pPr>
      <w:r>
        <w:rPr>
          <w:rFonts w:ascii="Arial" w:cs="Arial" w:eastAsia="Arial" w:hAnsi="Arial"/>
          <w:b w:val="false"/>
          <w:bCs w:val="false"/>
          <w:i w:val="false"/>
          <w:iCs w:val="false"/>
          <w:color w:val="2D2D2D"/>
          <w:sz w:val="22"/>
          <w:szCs w:val="22"/>
        </w:rPr>
        <w:t xml:space="preserve">The SuperTrend “gray/chop” override has been removed. Standard SuperTrend is binary (bullish/bearish) with no native neutral state. Chop detection is now handled entirely by the ADX filter, which is the purpose-built tool for measuring trend strength.</w:t>
      </w:r>
    </w:p>
    <w:p>
      <w:r>
        <w:br w:type="page"/>
      </w:r>
    </w:p>
    <w:p>
      <w:pPr>
        <w:pStyle w:val="Heading1"/>
        <w:spacing w:after="200" w:before="360"/>
      </w:pPr>
      <w:r>
        <w:rPr>
          <w:rFonts w:ascii="Arial" w:cs="Arial" w:eastAsia="Arial" w:hAnsi="Arial"/>
          <w:b/>
          <w:bCs/>
          <w:color w:val="1B3A5C"/>
          <w:sz w:val="32"/>
          <w:szCs w:val="32"/>
        </w:rPr>
        <w:t xml:space="preserve">3. Phased Execution Plan</w:t>
      </w:r>
    </w:p>
    <w:p>
      <w:pPr>
        <w:pStyle w:val="Heading2"/>
        <w:spacing w:after="160" w:before="280"/>
      </w:pPr>
      <w:r>
        <w:rPr>
          <w:rFonts w:ascii="Arial" w:cs="Arial" w:eastAsia="Arial" w:hAnsi="Arial"/>
          <w:b/>
          <w:bCs/>
          <w:color w:val="2E75B6"/>
          <w:sz w:val="26"/>
          <w:szCs w:val="26"/>
        </w:rPr>
        <w:t xml:space="preserve">Phase 1: Foundation and Environment Setup</w:t>
      </w:r>
    </w:p>
    <w:p>
      <w:pPr>
        <w:spacing w:after="160" w:line="276"/>
      </w:pPr>
      <w:r>
        <w:rPr>
          <w:rFonts w:ascii="Arial" w:cs="Arial" w:eastAsia="Arial" w:hAnsi="Arial"/>
          <w:b/>
          <w:bCs/>
          <w:i w:val="false"/>
          <w:iCs w:val="false"/>
          <w:color w:val="2D2D2D"/>
          <w:sz w:val="22"/>
          <w:szCs w:val="22"/>
        </w:rPr>
        <w:t xml:space="preserve">Objective: </w:t>
      </w:r>
      <w:r>
        <w:rPr>
          <w:rFonts w:ascii="Arial" w:cs="Arial" w:eastAsia="Arial" w:hAnsi="Arial"/>
          <w:b w:val="false"/>
          <w:bCs w:val="false"/>
          <w:i w:val="false"/>
          <w:iCs w:val="false"/>
          <w:color w:val="2D2D2D"/>
          <w:sz w:val="22"/>
          <w:szCs w:val="22"/>
        </w:rPr>
        <w:t xml:space="preserve">Establish the ThinkScript study shell, declare all input parameters, and confirm the script compiles without errors on ThinkorSwim.</w:t>
      </w:r>
    </w:p>
    <w:p>
      <w:pPr>
        <w:pStyle w:val="ListParagraph"/>
        <w:numPr>
          <w:ilvl w:val="0"/>
          <w:numId w:val="2"/>
        </w:numPr>
        <w:spacing w:after="100" w:line="276"/>
      </w:pPr>
      <w:r>
        <w:rPr>
          <w:rFonts w:ascii="Arial" w:cs="Arial" w:eastAsia="Arial" w:hAnsi="Arial"/>
          <w:b w:val="false"/>
          <w:bCs w:val="false"/>
          <w:i w:val="false"/>
          <w:iCs w:val="false"/>
          <w:color w:val="2D2D2D"/>
          <w:sz w:val="22"/>
          <w:szCs w:val="22"/>
        </w:rPr>
        <w:t xml:space="preserve">Create a new ThinkorSwim study with declare upper; for price panel overlay.</w:t>
      </w:r>
    </w:p>
    <w:p>
      <w:pPr>
        <w:pStyle w:val="ListParagraph"/>
        <w:numPr>
          <w:ilvl w:val="0"/>
          <w:numId w:val="2"/>
        </w:numPr>
        <w:spacing w:after="100" w:line="276"/>
      </w:pPr>
      <w:r>
        <w:rPr>
          <w:rFonts w:ascii="Arial" w:cs="Arial" w:eastAsia="Arial" w:hAnsi="Arial"/>
          <w:b w:val="false"/>
          <w:bCs w:val="false"/>
          <w:i w:val="false"/>
          <w:iCs w:val="false"/>
          <w:color w:val="2D2D2D"/>
          <w:sz w:val="22"/>
          <w:szCs w:val="22"/>
        </w:rPr>
        <w:t xml:space="preserve">Define all configurable inputs: SuperTrend ATR period and multiplier, ADX length (default 14), VWAP standard deviation bands, volume average length (default 50), TTM Squeeze Bollinger/Keltner parameters, pivot lookback length.</w:t>
      </w:r>
    </w:p>
    <w:p>
      <w:pPr>
        <w:pStyle w:val="ListParagraph"/>
        <w:numPr>
          <w:ilvl w:val="0"/>
          <w:numId w:val="2"/>
        </w:numPr>
        <w:spacing w:after="100" w:line="276"/>
      </w:pPr>
      <w:r>
        <w:rPr>
          <w:rFonts w:ascii="Arial" w:cs="Arial" w:eastAsia="Arial" w:hAnsi="Arial"/>
          <w:b w:val="false"/>
          <w:bCs w:val="false"/>
          <w:i w:val="false"/>
          <w:iCs w:val="false"/>
          <w:color w:val="2D2D2D"/>
          <w:sz w:val="22"/>
          <w:szCs w:val="22"/>
        </w:rPr>
        <w:t xml:space="preserve">Define Tier 1 and Tier 2 weight inputs so the user can adjust weighting without editing the code.</w:t>
      </w:r>
    </w:p>
    <w:p>
      <w:pPr>
        <w:pStyle w:val="ListParagraph"/>
        <w:numPr>
          <w:ilvl w:val="0"/>
          <w:numId w:val="2"/>
        </w:numPr>
        <w:spacing w:after="100" w:line="276"/>
      </w:pPr>
      <w:r>
        <w:rPr>
          <w:rFonts w:ascii="Arial" w:cs="Arial" w:eastAsia="Arial" w:hAnsi="Arial"/>
          <w:b w:val="false"/>
          <w:bCs w:val="false"/>
          <w:i w:val="false"/>
          <w:iCs w:val="false"/>
          <w:color w:val="2D2D2D"/>
          <w:sz w:val="22"/>
          <w:szCs w:val="22"/>
        </w:rPr>
        <w:t xml:space="preserve">Add placeholder variables for each indicator’s vote (def stVote = 0; def vwapVote = 0; etc.).</w:t>
      </w:r>
    </w:p>
    <w:p>
      <w:pPr>
        <w:pStyle w:val="ListParagraph"/>
        <w:numPr>
          <w:ilvl w:val="0"/>
          <w:numId w:val="2"/>
        </w:numPr>
        <w:spacing w:after="100" w:line="276"/>
      </w:pPr>
      <w:r>
        <w:rPr>
          <w:rFonts w:ascii="Arial" w:cs="Arial" w:eastAsia="Arial" w:hAnsi="Arial"/>
          <w:b w:val="false"/>
          <w:bCs w:val="false"/>
          <w:i w:val="false"/>
          <w:iCs w:val="false"/>
          <w:color w:val="2D2D2D"/>
          <w:sz w:val="22"/>
          <w:szCs w:val="22"/>
        </w:rPr>
        <w:t xml:space="preserve">Add a placeholder AddLabel() call to confirm the study loads on the chart.</w:t>
      </w:r>
    </w:p>
    <w:p>
      <w:pPr>
        <w:spacing w:after="160" w:line="276"/>
      </w:pPr>
      <w:r>
        <w:rPr>
          <w:rFonts w:ascii="Arial" w:cs="Arial" w:eastAsia="Arial" w:hAnsi="Arial"/>
          <w:b/>
          <w:bCs/>
          <w:i w:val="false"/>
          <w:iCs w:val="false"/>
          <w:color w:val="2E7D32"/>
          <w:sz w:val="22"/>
          <w:szCs w:val="22"/>
        </w:rPr>
        <w:t xml:space="preserve">Acceptance Criteria: </w:t>
      </w:r>
      <w:r>
        <w:rPr>
          <w:rFonts w:ascii="Arial" w:cs="Arial" w:eastAsia="Arial" w:hAnsi="Arial"/>
          <w:b w:val="false"/>
          <w:bCs w:val="false"/>
          <w:i w:val="false"/>
          <w:iCs w:val="false"/>
          <w:color w:val="2D2D2D"/>
          <w:sz w:val="22"/>
          <w:szCs w:val="22"/>
        </w:rPr>
        <w:t xml:space="preserve">Study compiles, loads on a chart, and displays a static test label. All inputs appear in the study settings dialog.</w:t>
      </w:r>
    </w:p>
    <w:p>
      <w:pPr>
        <w:spacing w:after="160" w:line="276"/>
      </w:pPr>
      <w:r>
        <w:rPr>
          <w:rFonts w:ascii="Arial" w:cs="Arial" w:eastAsia="Arial" w:hAnsi="Arial"/>
          <w:b/>
          <w:bCs/>
          <w:i w:val="false"/>
          <w:iCs w:val="false"/>
          <w:color w:val="C62828"/>
          <w:sz w:val="22"/>
          <w:szCs w:val="22"/>
        </w:rPr>
        <w:t xml:space="preserve">Risk: </w:t>
      </w:r>
      <w:r>
        <w:rPr>
          <w:rFonts w:ascii="Arial" w:cs="Arial" w:eastAsia="Arial" w:hAnsi="Arial"/>
          <w:b w:val="false"/>
          <w:bCs w:val="false"/>
          <w:i w:val="false"/>
          <w:iCs w:val="false"/>
          <w:color w:val="2D2D2D"/>
          <w:sz w:val="22"/>
          <w:szCs w:val="22"/>
        </w:rPr>
        <w:t xml:space="preserve">None. This is scaffolding only.</w:t>
      </w:r>
    </w:p>
    <w:p>
      <w:pPr>
        <w:pStyle w:val="Heading2"/>
        <w:spacing w:after="160" w:before="280"/>
      </w:pPr>
      <w:r>
        <w:rPr>
          <w:rFonts w:ascii="Arial" w:cs="Arial" w:eastAsia="Arial" w:hAnsi="Arial"/>
          <w:b/>
          <w:bCs/>
          <w:color w:val="2E75B6"/>
          <w:sz w:val="26"/>
          <w:szCs w:val="26"/>
        </w:rPr>
        <w:t xml:space="preserve">Phase 2: Indicator Recalculation Engine</w:t>
      </w:r>
    </w:p>
    <w:p>
      <w:pPr>
        <w:spacing w:after="160" w:line="276"/>
      </w:pPr>
      <w:r>
        <w:rPr>
          <w:rFonts w:ascii="Arial" w:cs="Arial" w:eastAsia="Arial" w:hAnsi="Arial"/>
          <w:b/>
          <w:bCs/>
          <w:i w:val="false"/>
          <w:iCs w:val="false"/>
          <w:color w:val="2D2D2D"/>
          <w:sz w:val="22"/>
          <w:szCs w:val="22"/>
        </w:rPr>
        <w:t xml:space="preserve">Objective: </w:t>
      </w:r>
      <w:r>
        <w:rPr>
          <w:rFonts w:ascii="Arial" w:cs="Arial" w:eastAsia="Arial" w:hAnsi="Arial"/>
          <w:b w:val="false"/>
          <w:bCs w:val="false"/>
          <w:i w:val="false"/>
          <w:iCs w:val="false"/>
          <w:color w:val="2D2D2D"/>
          <w:sz w:val="22"/>
          <w:szCs w:val="22"/>
        </w:rPr>
        <w:t xml:space="preserve">Internally recalculate each indicator using the same parameters the user has configured on their chart. ThinkScript cannot read another study’s output directly, so every indicator must be recomputed from price and volume data.</w:t>
      </w:r>
    </w:p>
    <w:p>
      <w:pPr>
        <w:spacing w:after="160" w:line="276"/>
      </w:pPr>
      <w:r>
        <w:rPr>
          <w:rFonts w:ascii="Arial" w:cs="Arial" w:eastAsia="Arial" w:hAnsi="Arial"/>
          <w:b w:val="false"/>
          <w:bCs w:val="false"/>
          <w:i w:val="false"/>
          <w:iCs w:val="false"/>
          <w:color w:val="2D2D2D"/>
          <w:sz w:val="22"/>
          <w:szCs w:val="22"/>
        </w:rPr>
        <w:t xml:space="preserve">Build each indicator module in the following order, testing each independently before proceeding:</w:t>
      </w:r>
    </w:p>
    <w:p>
      <w:pPr>
        <w:pStyle w:val="ListParagraph"/>
        <w:numPr>
          <w:ilvl w:val="0"/>
          <w:numId w:val="3"/>
        </w:numPr>
        <w:spacing w:after="100" w:line="276"/>
      </w:pPr>
      <w:r>
        <w:rPr>
          <w:rFonts w:ascii="Arial" w:cs="Arial" w:eastAsia="Arial" w:hAnsi="Arial"/>
          <w:b w:val="false"/>
          <w:bCs w:val="false"/>
          <w:i w:val="false"/>
          <w:iCs w:val="false"/>
          <w:color w:val="2D2D2D"/>
          <w:sz w:val="22"/>
          <w:szCs w:val="22"/>
        </w:rPr>
        <w:t xml:space="preserve">SuperTrend: Calculate ATR, upper/lower bands, and trend flip logic. Output: stBull (boolean), stBear (boolean).</w:t>
      </w:r>
    </w:p>
    <w:p>
      <w:pPr>
        <w:pStyle w:val="ListParagraph"/>
        <w:numPr>
          <w:ilvl w:val="0"/>
          <w:numId w:val="3"/>
        </w:numPr>
        <w:spacing w:after="100" w:line="276"/>
      </w:pPr>
      <w:r>
        <w:rPr>
          <w:rFonts w:ascii="Arial" w:cs="Arial" w:eastAsia="Arial" w:hAnsi="Arial"/>
          <w:b w:val="false"/>
          <w:bCs w:val="false"/>
          <w:i w:val="false"/>
          <w:iCs w:val="false"/>
          <w:color w:val="2D2D2D"/>
          <w:sz w:val="22"/>
          <w:szCs w:val="22"/>
        </w:rPr>
        <w:t xml:space="preserve">VWAP: Calculate cumulative volume-weighted price. Add upper/lower standard deviation bands. Output: vwapLine, vwapUpper, vwapLower.</w:t>
      </w:r>
    </w:p>
    <w:p>
      <w:pPr>
        <w:pStyle w:val="ListParagraph"/>
        <w:numPr>
          <w:ilvl w:val="0"/>
          <w:numId w:val="3"/>
        </w:numPr>
        <w:spacing w:after="100" w:line="276"/>
      </w:pPr>
      <w:r>
        <w:rPr>
          <w:rFonts w:ascii="Arial" w:cs="Arial" w:eastAsia="Arial" w:hAnsi="Arial"/>
          <w:b w:val="false"/>
          <w:bCs w:val="false"/>
          <w:i w:val="false"/>
          <w:iCs w:val="false"/>
          <w:color w:val="2D2D2D"/>
          <w:sz w:val="22"/>
          <w:szCs w:val="22"/>
        </w:rPr>
        <w:t xml:space="preserve">TTM Squeeze (single composite): Calculate Bollinger Bands (20, 2.0) and Keltner Channels (20, 1.5). Determine squeeze state (BB inside KC). Calculate momentum histogram using linear regression of the midline delta. Output: squeezeOn (boolean), squeezeDir (+1/-1), combined as single vote.</w:t>
      </w:r>
    </w:p>
    <w:p>
      <w:pPr>
        <w:pStyle w:val="ListParagraph"/>
        <w:numPr>
          <w:ilvl w:val="0"/>
          <w:numId w:val="3"/>
        </w:numPr>
        <w:spacing w:after="100" w:line="276"/>
      </w:pPr>
      <w:r>
        <w:rPr>
          <w:rFonts w:ascii="Arial" w:cs="Arial" w:eastAsia="Arial" w:hAnsi="Arial"/>
          <w:b w:val="false"/>
          <w:bCs w:val="false"/>
          <w:i w:val="false"/>
          <w:iCs w:val="false"/>
          <w:color w:val="2D2D2D"/>
          <w:sz w:val="22"/>
          <w:szCs w:val="22"/>
        </w:rPr>
        <w:t xml:space="preserve">ADX: Implement Wilder’s directional movement system with 14-period smoothing. Output: adxValue, plusDI, minusDI.</w:t>
      </w:r>
    </w:p>
    <w:p>
      <w:pPr>
        <w:pStyle w:val="ListParagraph"/>
        <w:numPr>
          <w:ilvl w:val="0"/>
          <w:numId w:val="3"/>
        </w:numPr>
        <w:spacing w:after="100" w:line="276"/>
      </w:pPr>
      <w:r>
        <w:rPr>
          <w:rFonts w:ascii="Arial" w:cs="Arial" w:eastAsia="Arial" w:hAnsi="Arial"/>
          <w:b w:val="false"/>
          <w:bCs w:val="false"/>
          <w:i w:val="false"/>
          <w:iCs w:val="false"/>
          <w:color w:val="2D2D2D"/>
          <w:sz w:val="22"/>
          <w:szCs w:val="22"/>
        </w:rPr>
        <w:t xml:space="preserve">Volume: Compare current bar volume to VolumeAvg(50). Output: volAboveAvg (boolean).</w:t>
      </w:r>
    </w:p>
    <w:p>
      <w:pPr>
        <w:pStyle w:val="ListParagraph"/>
        <w:numPr>
          <w:ilvl w:val="0"/>
          <w:numId w:val="3"/>
        </w:numPr>
        <w:spacing w:after="100" w:line="276"/>
      </w:pPr>
      <w:r>
        <w:rPr>
          <w:rFonts w:ascii="Arial" w:cs="Arial" w:eastAsia="Arial" w:hAnsi="Arial"/>
          <w:b w:val="false"/>
          <w:bCs w:val="false"/>
          <w:i w:val="false"/>
          <w:iCs w:val="false"/>
          <w:color w:val="2D2D2D"/>
          <w:sz w:val="22"/>
          <w:szCs w:val="22"/>
        </w:rPr>
        <w:t xml:space="preserve">15m HTF Bias: Use the higher timeframe aggregation for the 15-minute trend filter. Output: htfBull (boolean), htfBear (boolean).</w:t>
      </w:r>
    </w:p>
    <w:p>
      <w:pPr>
        <w:pStyle w:val="ListParagraph"/>
        <w:numPr>
          <w:ilvl w:val="0"/>
          <w:numId w:val="3"/>
        </w:numPr>
        <w:spacing w:after="100" w:line="276"/>
      </w:pPr>
      <w:r>
        <w:rPr>
          <w:rFonts w:ascii="Arial" w:cs="Arial" w:eastAsia="Arial" w:hAnsi="Arial"/>
          <w:b w:val="false"/>
          <w:bCs w:val="false"/>
          <w:i w:val="false"/>
          <w:iCs w:val="false"/>
          <w:color w:val="2D2D2D"/>
          <w:sz w:val="22"/>
          <w:szCs w:val="22"/>
        </w:rPr>
        <w:t xml:space="preserve">Pivot / ScalerAlert: Implement swing high/low detection with configurable lookback. Calculate central pivot point from prior session high, low, close. Output: pivotSignal (+1/-1/0), ppLevel.</w:t>
      </w:r>
    </w:p>
    <w:p>
      <w:pPr>
        <w:spacing w:after="160" w:line="276"/>
      </w:pPr>
      <w:r>
        <w:rPr>
          <w:rFonts w:ascii="Arial" w:cs="Arial" w:eastAsia="Arial" w:hAnsi="Arial"/>
          <w:b/>
          <w:bCs/>
          <w:i w:val="false"/>
          <w:iCs w:val="false"/>
          <w:color w:val="2E7D32"/>
          <w:sz w:val="22"/>
          <w:szCs w:val="22"/>
        </w:rPr>
        <w:t xml:space="preserve">Acceptance Criteria: </w:t>
      </w:r>
      <w:r>
        <w:rPr>
          <w:rFonts w:ascii="Arial" w:cs="Arial" w:eastAsia="Arial" w:hAnsi="Arial"/>
          <w:b w:val="false"/>
          <w:bCs w:val="false"/>
          <w:i w:val="false"/>
          <w:iCs w:val="false"/>
          <w:color w:val="2D2D2D"/>
          <w:sz w:val="22"/>
          <w:szCs w:val="22"/>
        </w:rPr>
        <w:t xml:space="preserve">Each indicator’s recalculated output matches the corresponding native ThinkorSwim study’s values when plotted side-by-side on the same chart and timeframe. Verification must be done on at least three different tickers and two timeframes.</w:t>
      </w:r>
    </w:p>
    <w:p>
      <w:pPr>
        <w:spacing w:after="160" w:line="276"/>
      </w:pPr>
      <w:r>
        <w:rPr>
          <w:rFonts w:ascii="Arial" w:cs="Arial" w:eastAsia="Arial" w:hAnsi="Arial"/>
          <w:b/>
          <w:bCs/>
          <w:i w:val="false"/>
          <w:iCs w:val="false"/>
          <w:color w:val="C62828"/>
          <w:sz w:val="22"/>
          <w:szCs w:val="22"/>
        </w:rPr>
        <w:t xml:space="preserve">Risk: </w:t>
      </w:r>
      <w:r>
        <w:rPr>
          <w:rFonts w:ascii="Arial" w:cs="Arial" w:eastAsia="Arial" w:hAnsi="Arial"/>
          <w:b w:val="false"/>
          <w:bCs w:val="false"/>
          <w:i w:val="false"/>
          <w:iCs w:val="false"/>
          <w:color w:val="2D2D2D"/>
          <w:sz w:val="22"/>
          <w:szCs w:val="22"/>
        </w:rPr>
        <w:t xml:space="preserve">The ScalerAlert pivot approximation may diverge from the original if it uses proprietary logic. Mitigate by making lookback length a user-adjustable input and documenting the approximation in the study’s header comments.</w:t>
      </w:r>
    </w:p>
    <w:p>
      <w:pPr>
        <w:pStyle w:val="Heading2"/>
        <w:spacing w:after="160" w:before="280"/>
      </w:pPr>
      <w:r>
        <w:rPr>
          <w:rFonts w:ascii="Arial" w:cs="Arial" w:eastAsia="Arial" w:hAnsi="Arial"/>
          <w:b/>
          <w:bCs/>
          <w:color w:val="2E75B6"/>
          <w:sz w:val="26"/>
          <w:szCs w:val="26"/>
        </w:rPr>
        <w:t xml:space="preserve">Phase 3: Scoring Engine and Override Logic</w:t>
      </w:r>
    </w:p>
    <w:p>
      <w:pPr>
        <w:spacing w:after="160" w:line="276"/>
      </w:pPr>
      <w:r>
        <w:rPr>
          <w:rFonts w:ascii="Arial" w:cs="Arial" w:eastAsia="Arial" w:hAnsi="Arial"/>
          <w:b/>
          <w:bCs/>
          <w:i w:val="false"/>
          <w:iCs w:val="false"/>
          <w:color w:val="2D2D2D"/>
          <w:sz w:val="22"/>
          <w:szCs w:val="22"/>
        </w:rPr>
        <w:t xml:space="preserve">Objective: </w:t>
      </w:r>
      <w:r>
        <w:rPr>
          <w:rFonts w:ascii="Arial" w:cs="Arial" w:eastAsia="Arial" w:hAnsi="Arial"/>
          <w:b w:val="false"/>
          <w:bCs w:val="false"/>
          <w:i w:val="false"/>
          <w:iCs w:val="false"/>
          <w:color w:val="2D2D2D"/>
          <w:sz w:val="22"/>
          <w:szCs w:val="22"/>
        </w:rPr>
        <w:t xml:space="preserve">Combine all indicator votes into a single weighted score, apply overrides and penalties, and output the final signal classification.</w:t>
      </w:r>
    </w:p>
    <w:p>
      <w:pPr>
        <w:spacing w:after="160" w:line="276"/>
      </w:pPr>
      <w:r>
        <w:rPr>
          <w:rFonts w:ascii="Arial" w:cs="Arial" w:eastAsia="Arial" w:hAnsi="Arial"/>
          <w:b w:val="false"/>
          <w:bCs w:val="false"/>
          <w:i w:val="false"/>
          <w:iCs w:val="false"/>
          <w:color w:val="2D2D2D"/>
          <w:sz w:val="22"/>
          <w:szCs w:val="22"/>
        </w:rPr>
        <w:t xml:space="preserve">Implementation steps:</w:t>
      </w:r>
    </w:p>
    <w:p>
      <w:pPr>
        <w:pStyle w:val="ListParagraph"/>
        <w:numPr>
          <w:ilvl w:val="0"/>
          <w:numId w:val="3"/>
        </w:numPr>
        <w:spacing w:after="100" w:line="276"/>
      </w:pPr>
      <w:r>
        <w:rPr>
          <w:rFonts w:ascii="Arial" w:cs="Arial" w:eastAsia="Arial" w:hAnsi="Arial"/>
          <w:b w:val="false"/>
          <w:bCs w:val="false"/>
          <w:i w:val="false"/>
          <w:iCs w:val="false"/>
          <w:color w:val="2D2D2D"/>
          <w:sz w:val="22"/>
          <w:szCs w:val="22"/>
        </w:rPr>
        <w:t xml:space="preserve">Count active indicators: For each indicator, track whether it produced a valid reading on the current bar. Store as def activeCount.</w:t>
      </w:r>
    </w:p>
    <w:p>
      <w:pPr>
        <w:pStyle w:val="ListParagraph"/>
        <w:numPr>
          <w:ilvl w:val="0"/>
          <w:numId w:val="3"/>
        </w:numPr>
        <w:spacing w:after="100" w:line="276"/>
      </w:pPr>
      <w:r>
        <w:rPr>
          <w:rFonts w:ascii="Arial" w:cs="Arial" w:eastAsia="Arial" w:hAnsi="Arial"/>
          <w:b w:val="false"/>
          <w:bCs w:val="false"/>
          <w:i w:val="false"/>
          <w:iCs w:val="false"/>
          <w:color w:val="2D2D2D"/>
          <w:sz w:val="22"/>
          <w:szCs w:val="22"/>
        </w:rPr>
        <w:t xml:space="preserve">Calculate raw weighted score: Sum all votes multiplied by their tier weight. Tier 1 (SuperTrend, VWAP, TTM Squeeze) × 2. Tier 2 (HTF Bias, Volume, ADX, Pivot) × 1.</w:t>
      </w:r>
    </w:p>
    <w:p>
      <w:pPr>
        <w:pStyle w:val="ListParagraph"/>
        <w:numPr>
          <w:ilvl w:val="0"/>
          <w:numId w:val="3"/>
        </w:numPr>
        <w:spacing w:after="100" w:line="276"/>
      </w:pPr>
      <w:r>
        <w:rPr>
          <w:rFonts w:ascii="Arial" w:cs="Arial" w:eastAsia="Arial" w:hAnsi="Arial"/>
          <w:b w:val="false"/>
          <w:bCs w:val="false"/>
          <w:i w:val="false"/>
          <w:iCs w:val="false"/>
          <w:color w:val="2D2D2D"/>
          <w:sz w:val="22"/>
          <w:szCs w:val="22"/>
        </w:rPr>
        <w:t xml:space="preserve">Apply score penalties: If volume &lt; average, subtract 2. If ADX is between 20 and 25, subtract 2. If SuperTrend and HTF Bias conflict (one bullish, one bearish), subtract 3.</w:t>
      </w:r>
    </w:p>
    <w:p>
      <w:pPr>
        <w:pStyle w:val="ListParagraph"/>
        <w:numPr>
          <w:ilvl w:val="0"/>
          <w:numId w:val="3"/>
        </w:numPr>
        <w:spacing w:after="100" w:line="276"/>
      </w:pPr>
      <w:r>
        <w:rPr>
          <w:rFonts w:ascii="Arial" w:cs="Arial" w:eastAsia="Arial" w:hAnsi="Arial"/>
          <w:b w:val="false"/>
          <w:bCs w:val="false"/>
          <w:i w:val="false"/>
          <w:iCs w:val="false"/>
          <w:color w:val="2D2D2D"/>
          <w:sz w:val="22"/>
          <w:szCs w:val="22"/>
        </w:rPr>
        <w:t xml:space="preserve">Apply hard overrides: If ADX &lt; 20, force signal to NO TRADE regardless of score. If activeCount &lt; 5, force signal to INSUFFICIENT DATA.</w:t>
      </w:r>
    </w:p>
    <w:p>
      <w:pPr>
        <w:pStyle w:val="ListParagraph"/>
        <w:numPr>
          <w:ilvl w:val="0"/>
          <w:numId w:val="3"/>
        </w:numPr>
        <w:spacing w:after="100" w:line="276"/>
      </w:pPr>
      <w:r>
        <w:rPr>
          <w:rFonts w:ascii="Arial" w:cs="Arial" w:eastAsia="Arial" w:hAnsi="Arial"/>
          <w:b w:val="false"/>
          <w:bCs w:val="false"/>
          <w:i w:val="false"/>
          <w:iCs w:val="false"/>
          <w:color w:val="2D2D2D"/>
          <w:sz w:val="22"/>
          <w:szCs w:val="22"/>
        </w:rPr>
        <w:t xml:space="preserve">Classify final signal: Map the adjusted score to the five-tier badge using the thresholds from Section 2.1. Use close[1] (prior completed bar) for all calculations to ensure the signal is confirmed, not forming.</w:t>
      </w:r>
    </w:p>
    <w:p>
      <w:pPr>
        <w:spacing w:after="160" w:line="276"/>
      </w:pPr>
      <w:r>
        <w:rPr>
          <w:rFonts w:ascii="Arial" w:cs="Arial" w:eastAsia="Arial" w:hAnsi="Arial"/>
          <w:b/>
          <w:bCs/>
          <w:i w:val="false"/>
          <w:iCs w:val="false"/>
          <w:color w:val="2E7D32"/>
          <w:sz w:val="22"/>
          <w:szCs w:val="22"/>
        </w:rPr>
        <w:t xml:space="preserve">Acceptance Criteria: </w:t>
      </w:r>
      <w:r>
        <w:rPr>
          <w:rFonts w:ascii="Arial" w:cs="Arial" w:eastAsia="Arial" w:hAnsi="Arial"/>
          <w:b w:val="false"/>
          <w:bCs w:val="false"/>
          <w:i w:val="false"/>
          <w:iCs w:val="false"/>
          <w:color w:val="2D2D2D"/>
          <w:sz w:val="22"/>
          <w:szCs w:val="22"/>
        </w:rPr>
        <w:t xml:space="preserve">Manual calculation of the score on five random bars matches the script’s output exactly. Override conditions correctly suppress the signal when triggered. The label shows [Confirmed] when referencing the prior bar.</w:t>
      </w:r>
    </w:p>
    <w:p>
      <w:pPr>
        <w:spacing w:after="160" w:line="276"/>
      </w:pPr>
      <w:r>
        <w:rPr>
          <w:rFonts w:ascii="Arial" w:cs="Arial" w:eastAsia="Arial" w:hAnsi="Arial"/>
          <w:b/>
          <w:bCs/>
          <w:i w:val="false"/>
          <w:iCs w:val="false"/>
          <w:color w:val="C62828"/>
          <w:sz w:val="22"/>
          <w:szCs w:val="22"/>
        </w:rPr>
        <w:t xml:space="preserve">Risk: </w:t>
      </w:r>
      <w:r>
        <w:rPr>
          <w:rFonts w:ascii="Arial" w:cs="Arial" w:eastAsia="Arial" w:hAnsi="Arial"/>
          <w:b w:val="false"/>
          <w:bCs w:val="false"/>
          <w:i w:val="false"/>
          <w:iCs w:val="false"/>
          <w:color w:val="2D2D2D"/>
          <w:sz w:val="22"/>
          <w:szCs w:val="22"/>
        </w:rPr>
        <w:t xml:space="preserve">Threshold bands (+9 to +11, etc.) are theoretical. They may produce signals that are too rare or too frequent. Phase 5 backtesting will calibrate these.</w:t>
      </w:r>
    </w:p>
    <w:p>
      <w:pPr>
        <w:pStyle w:val="Heading2"/>
        <w:spacing w:after="160" w:before="280"/>
      </w:pPr>
      <w:r>
        <w:rPr>
          <w:rFonts w:ascii="Arial" w:cs="Arial" w:eastAsia="Arial" w:hAnsi="Arial"/>
          <w:b/>
          <w:bCs/>
          <w:color w:val="2E75B6"/>
          <w:sz w:val="26"/>
          <w:szCs w:val="26"/>
        </w:rPr>
        <w:t xml:space="preserve">Phase 4: Display and Label Rendering</w:t>
      </w:r>
    </w:p>
    <w:p>
      <w:pPr>
        <w:spacing w:after="160" w:line="276"/>
      </w:pPr>
      <w:r>
        <w:rPr>
          <w:rFonts w:ascii="Arial" w:cs="Arial" w:eastAsia="Arial" w:hAnsi="Arial"/>
          <w:b/>
          <w:bCs/>
          <w:i w:val="false"/>
          <w:iCs w:val="false"/>
          <w:color w:val="2D2D2D"/>
          <w:sz w:val="22"/>
          <w:szCs w:val="22"/>
        </w:rPr>
        <w:t xml:space="preserve">Objective: </w:t>
      </w:r>
      <w:r>
        <w:rPr>
          <w:rFonts w:ascii="Arial" w:cs="Arial" w:eastAsia="Arial" w:hAnsi="Arial"/>
          <w:b w:val="false"/>
          <w:bCs w:val="false"/>
          <w:i w:val="false"/>
          <w:iCs w:val="false"/>
          <w:color w:val="2D2D2D"/>
          <w:sz w:val="22"/>
          <w:szCs w:val="22"/>
        </w:rPr>
        <w:t xml:space="preserve">Render the signal badge, numeric score, and indicator-level detail as a formatted label on the upper-left of the price panel.</w:t>
      </w:r>
    </w:p>
    <w:p>
      <w:pPr>
        <w:spacing w:after="160" w:line="276"/>
      </w:pPr>
      <w:r>
        <w:rPr>
          <w:rFonts w:ascii="Arial" w:cs="Arial" w:eastAsia="Arial" w:hAnsi="Arial"/>
          <w:b w:val="false"/>
          <w:bCs w:val="false"/>
          <w:i w:val="false"/>
          <w:iCs w:val="false"/>
          <w:color w:val="2D2D2D"/>
          <w:sz w:val="22"/>
          <w:szCs w:val="22"/>
        </w:rPr>
        <w:t xml:space="preserve">Label format:</w:t>
      </w:r>
    </w:p>
    <w:p>
      <w:pPr>
        <w:spacing w:after="160" w:line="276"/>
      </w:pPr>
      <w:r>
        <w:rPr>
          <w:rFonts w:ascii="Arial" w:cs="Arial" w:eastAsia="Arial" w:hAnsi="Arial"/>
          <w:b/>
          <w:bCs/>
          <w:i w:val="false"/>
          <w:iCs w:val="false"/>
          <w:color w:val="2E7D32"/>
          <w:sz w:val="20"/>
          <w:szCs w:val="20"/>
        </w:rPr>
        <w:t xml:space="preserve">STRONG BUY — CALL [+9] [Confirmed] ST:Bull VWAP:Above Vol:High Sqz:Green ADX:32</w:t>
      </w:r>
    </w:p>
    <w:p>
      <w:pPr>
        <w:pStyle w:val="ListParagraph"/>
        <w:numPr>
          <w:ilvl w:val="0"/>
          <w:numId w:val="2"/>
        </w:numPr>
        <w:spacing w:after="100" w:line="276"/>
      </w:pPr>
      <w:r>
        <w:rPr>
          <w:rFonts w:ascii="Arial" w:cs="Arial" w:eastAsia="Arial" w:hAnsi="Arial"/>
          <w:b w:val="false"/>
          <w:bCs w:val="false"/>
          <w:i w:val="false"/>
          <w:iCs w:val="false"/>
          <w:color w:val="2D2D2D"/>
          <w:sz w:val="22"/>
          <w:szCs w:val="22"/>
        </w:rPr>
        <w:t xml:space="preserve">Use AddLabel() with Color.GREEN, Color.LIGHT_GREEN, Color.GRAY, Color.LIGHT_RED, Color.RED mapped to the five signal tiers.</w:t>
      </w:r>
    </w:p>
    <w:p>
      <w:pPr>
        <w:pStyle w:val="ListParagraph"/>
        <w:numPr>
          <w:ilvl w:val="0"/>
          <w:numId w:val="2"/>
        </w:numPr>
        <w:spacing w:after="100" w:line="276"/>
      </w:pPr>
      <w:r>
        <w:rPr>
          <w:rFonts w:ascii="Arial" w:cs="Arial" w:eastAsia="Arial" w:hAnsi="Arial"/>
          <w:b w:val="false"/>
          <w:bCs w:val="false"/>
          <w:i w:val="false"/>
          <w:iCs w:val="false"/>
          <w:color w:val="2D2D2D"/>
          <w:sz w:val="22"/>
          <w:szCs w:val="22"/>
        </w:rPr>
        <w:t xml:space="preserve">Include the numeric score in brackets so the trader can see proximity to threshold boundaries.</w:t>
      </w:r>
    </w:p>
    <w:p>
      <w:pPr>
        <w:pStyle w:val="ListParagraph"/>
        <w:numPr>
          <w:ilvl w:val="0"/>
          <w:numId w:val="2"/>
        </w:numPr>
        <w:spacing w:after="100" w:line="276"/>
      </w:pPr>
      <w:r>
        <w:rPr>
          <w:rFonts w:ascii="Arial" w:cs="Arial" w:eastAsia="Arial" w:hAnsi="Arial"/>
          <w:b w:val="false"/>
          <w:bCs w:val="false"/>
          <w:i w:val="false"/>
          <w:iCs w:val="false"/>
          <w:color w:val="2D2D2D"/>
          <w:sz w:val="22"/>
          <w:szCs w:val="22"/>
        </w:rPr>
        <w:t xml:space="preserve">Include abbreviated indicator states (ST:Bull/Bear, VWAP:Above/Below, Vol:High/Low, Sqz:Green/Red/On, ADX:nn, HTF:Bull/Bear, Pvt:+/-) for immediate debuggability.</w:t>
      </w:r>
    </w:p>
    <w:p>
      <w:pPr>
        <w:pStyle w:val="ListParagraph"/>
        <w:numPr>
          <w:ilvl w:val="0"/>
          <w:numId w:val="2"/>
        </w:numPr>
        <w:spacing w:after="100" w:line="276"/>
      </w:pPr>
      <w:r>
        <w:rPr>
          <w:rFonts w:ascii="Arial" w:cs="Arial" w:eastAsia="Arial" w:hAnsi="Arial"/>
          <w:b w:val="false"/>
          <w:bCs w:val="false"/>
          <w:i w:val="false"/>
          <w:iCs w:val="false"/>
          <w:color w:val="2D2D2D"/>
          <w:sz w:val="22"/>
          <w:szCs w:val="22"/>
        </w:rPr>
        <w:t xml:space="preserve">Add a second label in smaller text showing any active overrides or penalties: e.g., [ADX Gray Zone: -2] [Low Volume: -2].</w:t>
      </w:r>
    </w:p>
    <w:p>
      <w:pPr>
        <w:pStyle w:val="ListParagraph"/>
        <w:numPr>
          <w:ilvl w:val="0"/>
          <w:numId w:val="2"/>
        </w:numPr>
        <w:spacing w:after="100" w:line="276"/>
      </w:pPr>
      <w:r>
        <w:rPr>
          <w:rFonts w:ascii="Arial" w:cs="Arial" w:eastAsia="Arial" w:hAnsi="Arial"/>
          <w:b w:val="false"/>
          <w:bCs w:val="false"/>
          <w:i w:val="false"/>
          <w:iCs w:val="false"/>
          <w:color w:val="2D2D2D"/>
          <w:sz w:val="22"/>
          <w:szCs w:val="22"/>
        </w:rPr>
        <w:t xml:space="preserve">When the signal is INSUFFICIENT DATA, display the label in white with a count of active indicators: INSUFFICIENT DATA [3/7 active].</w:t>
      </w:r>
    </w:p>
    <w:p>
      <w:pPr>
        <w:spacing w:after="160" w:line="276"/>
      </w:pPr>
      <w:r>
        <w:rPr>
          <w:rFonts w:ascii="Arial" w:cs="Arial" w:eastAsia="Arial" w:hAnsi="Arial"/>
          <w:b/>
          <w:bCs/>
          <w:i w:val="false"/>
          <w:iCs w:val="false"/>
          <w:color w:val="2E7D32"/>
          <w:sz w:val="22"/>
          <w:szCs w:val="22"/>
        </w:rPr>
        <w:t xml:space="preserve">Acceptance Criteria: </w:t>
      </w:r>
      <w:r>
        <w:rPr>
          <w:rFonts w:ascii="Arial" w:cs="Arial" w:eastAsia="Arial" w:hAnsi="Arial"/>
          <w:b w:val="false"/>
          <w:bCs w:val="false"/>
          <w:i w:val="false"/>
          <w:iCs w:val="false"/>
          <w:color w:val="2D2D2D"/>
          <w:sz w:val="22"/>
          <w:szCs w:val="22"/>
        </w:rPr>
        <w:t xml:space="preserve">Label is readable at default chart zoom on both light and dark ThinkorSwim themes. All five signal states display with correct colors. Indicator abbreviations update correctly as conditions change between bars.</w:t>
      </w:r>
    </w:p>
    <w:p>
      <w:pPr>
        <w:spacing w:after="160" w:line="276"/>
      </w:pPr>
      <w:r>
        <w:rPr>
          <w:rFonts w:ascii="Arial" w:cs="Arial" w:eastAsia="Arial" w:hAnsi="Arial"/>
          <w:b/>
          <w:bCs/>
          <w:i w:val="false"/>
          <w:iCs w:val="false"/>
          <w:color w:val="C62828"/>
          <w:sz w:val="22"/>
          <w:szCs w:val="22"/>
        </w:rPr>
        <w:t xml:space="preserve">Risk: </w:t>
      </w:r>
      <w:r>
        <w:rPr>
          <w:rFonts w:ascii="Arial" w:cs="Arial" w:eastAsia="Arial" w:hAnsi="Arial"/>
          <w:b w:val="false"/>
          <w:bCs w:val="false"/>
          <w:i w:val="false"/>
          <w:iCs w:val="false"/>
          <w:color w:val="2D2D2D"/>
          <w:sz w:val="22"/>
          <w:szCs w:val="22"/>
        </w:rPr>
        <w:t xml:space="preserve">ThinkorSwim labels have limited character width. If the full detail string exceeds the display area, split into two labels: primary (signal + score) and secondary (indicator detail).</w:t>
      </w:r>
    </w:p>
    <w:p>
      <w:pPr>
        <w:pStyle w:val="Heading2"/>
        <w:spacing w:after="160" w:before="280"/>
      </w:pPr>
      <w:r>
        <w:rPr>
          <w:rFonts w:ascii="Arial" w:cs="Arial" w:eastAsia="Arial" w:hAnsi="Arial"/>
          <w:b/>
          <w:bCs/>
          <w:color w:val="2E75B6"/>
          <w:sz w:val="26"/>
          <w:szCs w:val="26"/>
        </w:rPr>
        <w:t xml:space="preserve">Phase 5: Validation and Backtesting</w:t>
      </w:r>
    </w:p>
    <w:p>
      <w:pPr>
        <w:spacing w:after="160" w:line="276"/>
      </w:pPr>
      <w:r>
        <w:rPr>
          <w:rFonts w:ascii="Arial" w:cs="Arial" w:eastAsia="Arial" w:hAnsi="Arial"/>
          <w:b/>
          <w:bCs/>
          <w:i w:val="false"/>
          <w:iCs w:val="false"/>
          <w:color w:val="2D2D2D"/>
          <w:sz w:val="22"/>
          <w:szCs w:val="22"/>
        </w:rPr>
        <w:t xml:space="preserve">Objective: </w:t>
      </w:r>
      <w:r>
        <w:rPr>
          <w:rFonts w:ascii="Arial" w:cs="Arial" w:eastAsia="Arial" w:hAnsi="Arial"/>
          <w:b w:val="false"/>
          <w:bCs w:val="false"/>
          <w:i w:val="false"/>
          <w:iCs w:val="false"/>
          <w:color w:val="2D2D2D"/>
          <w:sz w:val="22"/>
          <w:szCs w:val="22"/>
        </w:rPr>
        <w:t xml:space="preserve">Verify the badge produces accurate, reliable, and non-misleading signals across multiple instruments, timeframes, and market conditions.</w:t>
      </w:r>
    </w:p>
    <w:p>
      <w:pPr>
        <w:spacing w:after="160" w:line="276"/>
      </w:pPr>
      <w:r>
        <w:rPr>
          <w:rFonts w:ascii="Arial" w:cs="Arial" w:eastAsia="Arial" w:hAnsi="Arial"/>
          <w:b w:val="false"/>
          <w:bCs w:val="false"/>
          <w:i w:val="false"/>
          <w:iCs w:val="false"/>
          <w:color w:val="2D2D2D"/>
          <w:sz w:val="22"/>
          <w:szCs w:val="22"/>
        </w:rPr>
        <w:t xml:space="preserve">Validation protocol:</w:t>
      </w:r>
    </w:p>
    <w:p>
      <w:pPr>
        <w:pStyle w:val="ListParagraph"/>
        <w:numPr>
          <w:ilvl w:val="0"/>
          <w:numId w:val="3"/>
        </w:numPr>
        <w:spacing w:after="100" w:line="276"/>
      </w:pPr>
      <w:r>
        <w:rPr>
          <w:rFonts w:ascii="Arial" w:cs="Arial" w:eastAsia="Arial" w:hAnsi="Arial"/>
          <w:b w:val="false"/>
          <w:bCs w:val="false"/>
          <w:i w:val="false"/>
          <w:iCs w:val="false"/>
          <w:color w:val="2D2D2D"/>
          <w:sz w:val="22"/>
          <w:szCs w:val="22"/>
        </w:rPr>
        <w:t xml:space="preserve">Parameter match audit: For each of the seven indicators, compare the script’s internal recalculation against the native ThinkorSwim study on the same chart. Values must match within rounding tolerance on at least 100 bars.</w:t>
      </w:r>
    </w:p>
    <w:p>
      <w:pPr>
        <w:pStyle w:val="ListParagraph"/>
        <w:numPr>
          <w:ilvl w:val="0"/>
          <w:numId w:val="3"/>
        </w:numPr>
        <w:spacing w:after="100" w:line="276"/>
      </w:pPr>
      <w:r>
        <w:rPr>
          <w:rFonts w:ascii="Arial" w:cs="Arial" w:eastAsia="Arial" w:hAnsi="Arial"/>
          <w:b w:val="false"/>
          <w:bCs w:val="false"/>
          <w:i w:val="false"/>
          <w:iCs w:val="false"/>
          <w:color w:val="2D2D2D"/>
          <w:sz w:val="22"/>
          <w:szCs w:val="22"/>
        </w:rPr>
        <w:t xml:space="preserve">Signal accuracy spot-check: Select 20 bars where the badge fired STRONG BUY or STRONG SELL. Manually verify that each indicator’s vote and the weighted sum produce the displayed score. Check that overrides fired correctly on at least 10 bars where conditions were met.</w:t>
      </w:r>
    </w:p>
    <w:p>
      <w:pPr>
        <w:pStyle w:val="ListParagraph"/>
        <w:numPr>
          <w:ilvl w:val="0"/>
          <w:numId w:val="3"/>
        </w:numPr>
        <w:spacing w:after="100" w:line="276"/>
      </w:pPr>
      <w:r>
        <w:rPr>
          <w:rFonts w:ascii="Arial" w:cs="Arial" w:eastAsia="Arial" w:hAnsi="Arial"/>
          <w:b w:val="false"/>
          <w:bCs w:val="false"/>
          <w:i w:val="false"/>
          <w:iCs w:val="false"/>
          <w:color w:val="2D2D2D"/>
          <w:sz w:val="22"/>
          <w:szCs w:val="22"/>
        </w:rPr>
        <w:t xml:space="preserve">Multi-ticker test: Run the study on at least five tickers spanning different volatility profiles: one large-cap equity (e.g., AAPL), one small-cap, one ETF (e.g., SPY), one high-volatility name, and one low-volatility name. Confirm the badge adapts correctly and does not produce persistent STRONG signals on choppy tickers.</w:t>
      </w:r>
    </w:p>
    <w:p>
      <w:pPr>
        <w:pStyle w:val="ListParagraph"/>
        <w:numPr>
          <w:ilvl w:val="0"/>
          <w:numId w:val="3"/>
        </w:numPr>
        <w:spacing w:after="100" w:line="276"/>
      </w:pPr>
      <w:r>
        <w:rPr>
          <w:rFonts w:ascii="Arial" w:cs="Arial" w:eastAsia="Arial" w:hAnsi="Arial"/>
          <w:b w:val="false"/>
          <w:bCs w:val="false"/>
          <w:i w:val="false"/>
          <w:iCs w:val="false"/>
          <w:color w:val="2D2D2D"/>
          <w:sz w:val="22"/>
          <w:szCs w:val="22"/>
        </w:rPr>
        <w:t xml:space="preserve">Timeframe test: Verify on 1-minute, 5-minute, and 15-minute intraday charts. VWAP must reset daily on each. Confirm that signal frequency is reasonable (not every bar and not never firing).</w:t>
      </w:r>
    </w:p>
    <w:p>
      <w:pPr>
        <w:pStyle w:val="ListParagraph"/>
        <w:numPr>
          <w:ilvl w:val="0"/>
          <w:numId w:val="3"/>
        </w:numPr>
        <w:spacing w:after="100" w:line="276"/>
      </w:pPr>
      <w:r>
        <w:rPr>
          <w:rFonts w:ascii="Arial" w:cs="Arial" w:eastAsia="Arial" w:hAnsi="Arial"/>
          <w:b w:val="false"/>
          <w:bCs w:val="false"/>
          <w:i w:val="false"/>
          <w:iCs w:val="false"/>
          <w:color w:val="2D2D2D"/>
          <w:sz w:val="22"/>
          <w:szCs w:val="22"/>
        </w:rPr>
        <w:t xml:space="preserve">Threshold calibration: If backtesting reveals that STRONG signals fire too rarely (&lt; 5% of bars) or too often (&gt; 25% of bars), adjust the threshold bands and re-test. Document final thresholds.</w:t>
      </w:r>
    </w:p>
    <w:p>
      <w:pPr>
        <w:pStyle w:val="ListParagraph"/>
        <w:numPr>
          <w:ilvl w:val="0"/>
          <w:numId w:val="3"/>
        </w:numPr>
        <w:spacing w:after="100" w:line="276"/>
      </w:pPr>
      <w:r>
        <w:rPr>
          <w:rFonts w:ascii="Arial" w:cs="Arial" w:eastAsia="Arial" w:hAnsi="Arial"/>
          <w:b w:val="false"/>
          <w:bCs w:val="false"/>
          <w:i w:val="false"/>
          <w:iCs w:val="false"/>
          <w:color w:val="2D2D2D"/>
          <w:sz w:val="22"/>
          <w:szCs w:val="22"/>
        </w:rPr>
        <w:t xml:space="preserve">Edge case validation: Test pre-market and post-market hours (VWAP behavior), first 30 minutes of session (VWAP instability), and tickers with missing or thin volume data (INSUFFICIENT DATA label).</w:t>
      </w:r>
    </w:p>
    <w:p>
      <w:pPr>
        <w:spacing w:after="160" w:line="276"/>
      </w:pPr>
      <w:r>
        <w:rPr>
          <w:rFonts w:ascii="Arial" w:cs="Arial" w:eastAsia="Arial" w:hAnsi="Arial"/>
          <w:b/>
          <w:bCs/>
          <w:i w:val="false"/>
          <w:iCs w:val="false"/>
          <w:color w:val="2E7D32"/>
          <w:sz w:val="22"/>
          <w:szCs w:val="22"/>
        </w:rPr>
        <w:t xml:space="preserve">Acceptance Criteria: </w:t>
      </w:r>
      <w:r>
        <w:rPr>
          <w:rFonts w:ascii="Arial" w:cs="Arial" w:eastAsia="Arial" w:hAnsi="Arial"/>
          <w:b w:val="false"/>
          <w:bCs w:val="false"/>
          <w:i w:val="false"/>
          <w:iCs w:val="false"/>
          <w:color w:val="2D2D2D"/>
          <w:sz w:val="22"/>
          <w:szCs w:val="22"/>
        </w:rPr>
        <w:t xml:space="preserve">All six validation steps pass. Final threshold values are documented. Known limitations are listed in the study’s header comments.</w:t>
      </w:r>
    </w:p>
    <w:p>
      <w:pPr>
        <w:spacing w:after="160" w:line="276"/>
      </w:pPr>
      <w:r>
        <w:rPr>
          <w:rFonts w:ascii="Arial" w:cs="Arial" w:eastAsia="Arial" w:hAnsi="Arial"/>
          <w:b/>
          <w:bCs/>
          <w:i w:val="false"/>
          <w:iCs w:val="false"/>
          <w:color w:val="C62828"/>
          <w:sz w:val="22"/>
          <w:szCs w:val="22"/>
        </w:rPr>
        <w:t xml:space="preserve">Risk: </w:t>
      </w:r>
      <w:r>
        <w:rPr>
          <w:rFonts w:ascii="Arial" w:cs="Arial" w:eastAsia="Arial" w:hAnsi="Arial"/>
          <w:b w:val="false"/>
          <w:bCs w:val="false"/>
          <w:i w:val="false"/>
          <w:iCs w:val="false"/>
          <w:color w:val="2D2D2D"/>
          <w:sz w:val="22"/>
          <w:szCs w:val="22"/>
        </w:rPr>
        <w:t xml:space="preserve">Backtesting in ThinkorSwim is limited to visual inspection and manual verification. For statistical rigor, consider exporting signal data to a spreadsheet for win-rate analysis. This is optional but recommended before live use.</w:t>
      </w:r>
    </w:p>
    <w:p>
      <w:r>
        <w:br w:type="page"/>
      </w:r>
    </w:p>
    <w:p>
      <w:pPr>
        <w:pStyle w:val="Heading1"/>
        <w:spacing w:after="200" w:before="360"/>
      </w:pPr>
      <w:r>
        <w:rPr>
          <w:rFonts w:ascii="Arial" w:cs="Arial" w:eastAsia="Arial" w:hAnsi="Arial"/>
          <w:b/>
          <w:bCs/>
          <w:color w:val="1B3A5C"/>
          <w:sz w:val="32"/>
          <w:szCs w:val="32"/>
        </w:rPr>
        <w:t xml:space="preserve">4.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000"/>
        <w:gridCol w:w="19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Estimated Effort</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Dependencies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bCs/>
                <w:color w:val="2D2D2D"/>
                <w:sz w:val="20"/>
                <w:szCs w:val="20"/>
              </w:rPr>
              <w:t xml:space="preserve">Phase 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Study shell with inputs and placeholders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1–2 hours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None</w:t>
            </w:r>
          </w:p>
        </w:tc>
      </w:tr>
      <w:tr>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bCs/>
                <w:color w:val="2D2D2D"/>
                <w:sz w:val="20"/>
                <w:szCs w:val="20"/>
              </w:rPr>
              <w:t xml:space="preserve">Phase 2</w:t>
            </w:r>
          </w:p>
        </w:tc>
        <w:tc>
          <w:tcPr>
            <w:tcW w:type="dxa" w:w="3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All 7 indicator recalculations verified</w:t>
            </w:r>
          </w:p>
        </w:tc>
        <w:tc>
          <w:tcPr>
            <w:tcW w:type="dxa" w:w="2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4–6 hours</w:t>
            </w:r>
          </w:p>
        </w:tc>
        <w:tc>
          <w:tcPr>
            <w:tcW w:type="dxa" w:w="19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Phase 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bCs/>
                <w:color w:val="2D2D2D"/>
                <w:sz w:val="20"/>
                <w:szCs w:val="20"/>
              </w:rPr>
              <w:t xml:space="preserve">Phase 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Scoring engine with overrides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2–3 hours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Phase 2</w:t>
            </w:r>
          </w:p>
        </w:tc>
      </w:tr>
      <w:tr>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bCs/>
                <w:color w:val="2D2D2D"/>
                <w:sz w:val="20"/>
                <w:szCs w:val="20"/>
              </w:rPr>
              <w:t xml:space="preserve">Phase 4</w:t>
            </w:r>
          </w:p>
        </w:tc>
        <w:tc>
          <w:tcPr>
            <w:tcW w:type="dxa" w:w="3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Formatted label display</w:t>
            </w:r>
          </w:p>
        </w:tc>
        <w:tc>
          <w:tcPr>
            <w:tcW w:type="dxa" w:w="2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1–2 hours</w:t>
            </w:r>
          </w:p>
        </w:tc>
        <w:tc>
          <w:tcPr>
            <w:tcW w:type="dxa" w:w="19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Phase 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bCs/>
                <w:color w:val="2D2D2D"/>
                <w:sz w:val="20"/>
                <w:szCs w:val="20"/>
              </w:rPr>
              <w:t xml:space="preserve">Phase 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Validated and calibrated 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4–8 hours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Phase 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bCs/>
                <w:color w:val="1B3A5C"/>
                <w:sz w:val="20"/>
                <w:szCs w:val="20"/>
              </w:rPr>
              <w:t xml:space="preserve">Total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bCs/>
                <w:color w:val="2D2D2D"/>
                <w:sz w:val="20"/>
                <w:szCs w:val="20"/>
              </w:rPr>
              <w:t xml:space="preserve">Production-ready ThinkScript signal badge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bCs/>
                <w:color w:val="1B3A5C"/>
                <w:sz w:val="20"/>
                <w:szCs w:val="20"/>
              </w:rPr>
              <w:t xml:space="preserve">12–21 hours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
            </w:r>
          </w:p>
        </w:tc>
      </w:tr>
    </w:tbl>
    <w:p>
      <w:pPr>
        <w:pStyle w:val="Heading1"/>
        <w:spacing w:after="200" w:before="360"/>
      </w:pPr>
      <w:r>
        <w:rPr>
          <w:rFonts w:ascii="Arial" w:cs="Arial" w:eastAsia="Arial" w:hAnsi="Arial"/>
          <w:b/>
          <w:bCs/>
          <w:color w:val="1B3A5C"/>
          <w:sz w:val="32"/>
          <w:szCs w:val="32"/>
        </w:rPr>
        <w:t xml:space="preserve">5. Indicator Category Audit</w:t>
      </w:r>
    </w:p>
    <w:p>
      <w:pPr>
        <w:spacing w:after="160" w:line="276"/>
      </w:pPr>
      <w:r>
        <w:rPr>
          <w:rFonts w:ascii="Arial" w:cs="Arial" w:eastAsia="Arial" w:hAnsi="Arial"/>
          <w:b w:val="false"/>
          <w:bCs w:val="false"/>
          <w:i w:val="false"/>
          <w:iCs w:val="false"/>
          <w:color w:val="2D2D2D"/>
          <w:sz w:val="22"/>
          <w:szCs w:val="22"/>
        </w:rPr>
        <w:t xml:space="preserve">To prevent multicollinearity, each indicator has been verified to belong to a distinct analytical category. No two indicators from the same category receive Tier 1 weighting.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Indicator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Measures</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Overlap Risk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bCs/>
                <w:color w:val="2D2D2D"/>
                <w:sz w:val="20"/>
                <w:szCs w:val="20"/>
              </w:rPr>
              <w:t xml:space="preserve">SuperTrend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Trend Direction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ATR-based trend flip on current TF</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Partial with HTF Bias</w:t>
            </w:r>
          </w:p>
        </w:tc>
      </w:tr>
      <w:tr>
        <w:tc>
          <w:tcPr>
            <w:tcW w:type="dxa" w:w="2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bCs/>
                <w:color w:val="2D2D2D"/>
                <w:sz w:val="20"/>
                <w:szCs w:val="20"/>
              </w:rPr>
              <w:t xml:space="preserve">15m HTF Bias</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Trend Direction</w:t>
            </w:r>
          </w:p>
        </w:tc>
        <w:tc>
          <w:tcPr>
            <w:tcW w:type="dxa" w:w="2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Higher TF trend context</w:t>
            </w:r>
          </w:p>
        </w:tc>
        <w:tc>
          <w:tcPr>
            <w:tcW w:type="dxa" w:w="27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Partial with SuperTrend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bCs/>
                <w:color w:val="2D2D2D"/>
                <w:sz w:val="20"/>
                <w:szCs w:val="20"/>
              </w:rPr>
              <w:t xml:space="preserve">VWAP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Institutional Bench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Volume-weighted fair value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None</w:t>
            </w:r>
          </w:p>
        </w:tc>
      </w:tr>
      <w:tr>
        <w:tc>
          <w:tcPr>
            <w:tcW w:type="dxa" w:w="2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bCs/>
                <w:color w:val="2D2D2D"/>
                <w:sz w:val="20"/>
                <w:szCs w:val="20"/>
              </w:rPr>
              <w:t xml:space="preserve">Volume</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Participation</w:t>
            </w:r>
          </w:p>
        </w:tc>
        <w:tc>
          <w:tcPr>
            <w:tcW w:type="dxa" w:w="2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Relative volume vs. 50-bar avg</w:t>
            </w:r>
          </w:p>
        </w:tc>
        <w:tc>
          <w:tcPr>
            <w:tcW w:type="dxa" w:w="27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bCs/>
                <w:color w:val="2D2D2D"/>
                <w:sz w:val="20"/>
                <w:szCs w:val="20"/>
              </w:rPr>
              <w:t xml:space="preserve">TTM Squeeze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Vol + Momentum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BB/KC compression + momentum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None</w:t>
            </w:r>
          </w:p>
        </w:tc>
      </w:tr>
      <w:tr>
        <w:tc>
          <w:tcPr>
            <w:tcW w:type="dxa" w:w="20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bCs/>
                <w:color w:val="2D2D2D"/>
                <w:sz w:val="20"/>
                <w:szCs w:val="20"/>
              </w:rPr>
              <w:t xml:space="preserve">ADX</w:t>
            </w:r>
          </w:p>
        </w:tc>
        <w:tc>
          <w:tcPr>
            <w:tcW w:type="dxa" w:w="1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Trend Strength</w:t>
            </w:r>
          </w:p>
        </w:tc>
        <w:tc>
          <w:tcPr>
            <w:tcW w:type="dxa" w:w="2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Directional movement intensity</w:t>
            </w:r>
          </w:p>
        </w:tc>
        <w:tc>
          <w:tcPr>
            <w:tcW w:type="dxa" w:w="27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bCs/>
                <w:color w:val="2D2D2D"/>
                <w:sz w:val="20"/>
                <w:szCs w:val="20"/>
              </w:rPr>
              <w:t xml:space="preserve">Pivot / ScalerAlert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Price Structure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Swing highs/lows + PP levels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None</w:t>
            </w:r>
          </w:p>
        </w:tc>
      </w:tr>
    </w:tbl>
    <w:p>
      <w:pPr>
        <w:spacing w:after="160" w:line="276"/>
      </w:pPr>
      <w:r>
        <w:rPr>
          <w:rFonts w:ascii="Arial" w:cs="Arial" w:eastAsia="Arial" w:hAnsi="Arial"/>
          <w:b/>
          <w:bCs/>
          <w:i w:val="false"/>
          <w:iCs w:val="false"/>
          <w:color w:val="2D2D2D"/>
          <w:sz w:val="22"/>
          <w:szCs w:val="22"/>
        </w:rPr>
        <w:t xml:space="preserve">Mitigation for SuperTrend/HTF Bias overlap: </w:t>
      </w:r>
      <w:r>
        <w:rPr>
          <w:rFonts w:ascii="Arial" w:cs="Arial" w:eastAsia="Arial" w:hAnsi="Arial"/>
          <w:b w:val="false"/>
          <w:bCs w:val="false"/>
          <w:i w:val="false"/>
          <w:iCs w:val="false"/>
          <w:color w:val="2D2D2D"/>
          <w:sz w:val="22"/>
          <w:szCs w:val="22"/>
        </w:rPr>
        <w:t xml:space="preserve">These are both trend-direction indicators, but they operate on different timeframes (current vs. 15-minute). They are kept as separate votes because timeframe divergence is itself a meaningful signal. However, SuperTrend is weighted as Tier 1 while HTF Bias is Tier 2 to prevent this pair from dominating the score. Additionally, when they conflict, a -3 penalty is applied, which effectively neutralizes both votes.</w:t>
      </w:r>
    </w:p>
    <w:p>
      <w:pPr>
        <w:pStyle w:val="Heading1"/>
        <w:spacing w:after="200" w:before="360"/>
      </w:pPr>
      <w:r>
        <w:rPr>
          <w:rFonts w:ascii="Arial" w:cs="Arial" w:eastAsia="Arial" w:hAnsi="Arial"/>
          <w:b/>
          <w:bCs/>
          <w:color w:val="1B3A5C"/>
          <w:sz w:val="32"/>
          <w:szCs w:val="32"/>
        </w:rPr>
        <w:t xml:space="preserve">6. Known Limitations and Assumptions</w:t>
      </w:r>
    </w:p>
    <w:p>
      <w:pPr>
        <w:pStyle w:val="ListParagraph"/>
        <w:numPr>
          <w:ilvl w:val="0"/>
          <w:numId w:val="2"/>
        </w:numPr>
        <w:spacing w:after="100" w:line="276"/>
      </w:pPr>
      <w:r>
        <w:rPr>
          <w:rFonts w:ascii="Arial" w:cs="Arial" w:eastAsia="Arial" w:hAnsi="Arial"/>
          <w:b w:val="false"/>
          <w:bCs w:val="false"/>
          <w:i w:val="false"/>
          <w:iCs w:val="false"/>
          <w:color w:val="2D2D2D"/>
          <w:sz w:val="22"/>
          <w:szCs w:val="22"/>
        </w:rPr>
        <w:t xml:space="preserve">Intraday only: VWAP resets daily, making this badge unreliable on daily or higher timeframes. This system is designed for 1-minute through 15-minute charts during regular trading hours.</w:t>
      </w:r>
    </w:p>
    <w:p>
      <w:pPr>
        <w:pStyle w:val="ListParagraph"/>
        <w:numPr>
          <w:ilvl w:val="0"/>
          <w:numId w:val="2"/>
        </w:numPr>
        <w:spacing w:after="100" w:line="276"/>
      </w:pPr>
      <w:r>
        <w:rPr>
          <w:rFonts w:ascii="Arial" w:cs="Arial" w:eastAsia="Arial" w:hAnsi="Arial"/>
          <w:b w:val="false"/>
          <w:bCs w:val="false"/>
          <w:i w:val="false"/>
          <w:iCs w:val="false"/>
          <w:color w:val="2D2D2D"/>
          <w:sz w:val="22"/>
          <w:szCs w:val="22"/>
        </w:rPr>
        <w:t xml:space="preserve">Lagging by design: All seven indicators are lagging or coincident. The badge confirms trends after they start, not before. It should not be treated as predictive.</w:t>
      </w:r>
    </w:p>
    <w:p>
      <w:pPr>
        <w:pStyle w:val="ListParagraph"/>
        <w:numPr>
          <w:ilvl w:val="0"/>
          <w:numId w:val="2"/>
        </w:numPr>
        <w:spacing w:after="100" w:line="276"/>
      </w:pPr>
      <w:r>
        <w:rPr>
          <w:rFonts w:ascii="Arial" w:cs="Arial" w:eastAsia="Arial" w:hAnsi="Arial"/>
          <w:b w:val="false"/>
          <w:bCs w:val="false"/>
          <w:i w:val="false"/>
          <w:iCs w:val="false"/>
          <w:color w:val="2D2D2D"/>
          <w:sz w:val="22"/>
          <w:szCs w:val="22"/>
        </w:rPr>
        <w:t xml:space="preserve">ScalerAlert is approximated: The pivot detection uses swing high/low logic with a configurable lookback. If the original ScalerAlert uses proprietary detection, results may differ.</w:t>
      </w:r>
    </w:p>
    <w:p>
      <w:pPr>
        <w:pStyle w:val="ListParagraph"/>
        <w:numPr>
          <w:ilvl w:val="0"/>
          <w:numId w:val="2"/>
        </w:numPr>
        <w:spacing w:after="100" w:line="276"/>
      </w:pPr>
      <w:r>
        <w:rPr>
          <w:rFonts w:ascii="Arial" w:cs="Arial" w:eastAsia="Arial" w:hAnsi="Arial"/>
          <w:b w:val="false"/>
          <w:bCs w:val="false"/>
          <w:i w:val="false"/>
          <w:iCs w:val="false"/>
          <w:color w:val="2D2D2D"/>
          <w:sz w:val="22"/>
          <w:szCs w:val="22"/>
        </w:rPr>
        <w:t xml:space="preserve">VWAP instability in first 30 minutes: VWAP requires volume accumulation to stabilize. Signals during the first 30 minutes of the session should be treated with reduced confidence.</w:t>
      </w:r>
    </w:p>
    <w:p>
      <w:pPr>
        <w:pStyle w:val="ListParagraph"/>
        <w:numPr>
          <w:ilvl w:val="0"/>
          <w:numId w:val="2"/>
        </w:numPr>
        <w:spacing w:after="100" w:line="276"/>
      </w:pPr>
      <w:r>
        <w:rPr>
          <w:rFonts w:ascii="Arial" w:cs="Arial" w:eastAsia="Arial" w:hAnsi="Arial"/>
          <w:b w:val="false"/>
          <w:bCs w:val="false"/>
          <w:i w:val="false"/>
          <w:iCs w:val="false"/>
          <w:color w:val="2D2D2D"/>
          <w:sz w:val="22"/>
          <w:szCs w:val="22"/>
        </w:rPr>
        <w:t xml:space="preserve">No forward-looking test: ThinkorSwim does not support walk-forward or out-of-sample backtesting natively. Visual backtesting (Phase 5) confirms historical behavior but does not guarantee future performance.</w:t>
      </w:r>
    </w:p>
    <w:p>
      <w:pPr>
        <w:pStyle w:val="ListParagraph"/>
        <w:numPr>
          <w:ilvl w:val="0"/>
          <w:numId w:val="2"/>
        </w:numPr>
        <w:spacing w:after="100" w:line="276"/>
      </w:pPr>
      <w:r>
        <w:rPr>
          <w:rFonts w:ascii="Arial" w:cs="Arial" w:eastAsia="Arial" w:hAnsi="Arial"/>
          <w:b w:val="false"/>
          <w:bCs w:val="false"/>
          <w:i w:val="false"/>
          <w:iCs w:val="false"/>
          <w:color w:val="2D2D2D"/>
          <w:sz w:val="22"/>
          <w:szCs w:val="22"/>
        </w:rPr>
        <w:t xml:space="preserve">Equal-weight alternative: If the user prefers simplicity, all weights can be set to 1 via the input parameters. This returns the system to the original blueprint’s approach with the max score of ±7 and thresholds adjusted accordingly.</w:t>
      </w:r>
    </w:p>
    <w:p>
      <w:pPr>
        <w:pStyle w:val="Heading1"/>
        <w:spacing w:after="200" w:before="360"/>
      </w:pPr>
      <w:r>
        <w:rPr>
          <w:rFonts w:ascii="Arial" w:cs="Arial" w:eastAsia="Arial" w:hAnsi="Arial"/>
          <w:b/>
          <w:bCs/>
          <w:color w:val="1B3A5C"/>
          <w:sz w:val="32"/>
          <w:szCs w:val="32"/>
        </w:rPr>
        <w:t xml:space="preserve">7. Changes from Original Blueprint</w:t>
      </w:r>
    </w:p>
    <w:p>
      <w:pPr>
        <w:spacing w:after="160" w:line="276"/>
      </w:pPr>
      <w:r>
        <w:rPr>
          <w:rFonts w:ascii="Arial" w:cs="Arial" w:eastAsia="Arial" w:hAnsi="Arial"/>
          <w:b w:val="false"/>
          <w:bCs w:val="false"/>
          <w:i w:val="false"/>
          <w:iCs w:val="false"/>
          <w:color w:val="2D2D2D"/>
          <w:sz w:val="22"/>
          <w:szCs w:val="22"/>
        </w:rPr>
        <w:t xml:space="preserve">This section documents every deviation from the original AI-generated blueprint, with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800"/>
        <w:gridCol w:w="29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Original</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Revised</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 / Rationale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TTM Squeeze scored as 2 votes (dots + histogram)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Consolidated to 1 composite vote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Bollinger: multicollinearity rule</w:t>
            </w:r>
          </w:p>
        </w:tc>
      </w:tr>
      <w:tr>
        <w:tc>
          <w:tcPr>
            <w:tcW w:type="dxa" w:w="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2</w:t>
            </w:r>
          </w:p>
        </w:tc>
        <w:tc>
          <w:tcPr>
            <w:tcW w:type="dxa" w:w="2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ADX threshold: 20</w:t>
            </w:r>
          </w:p>
        </w:tc>
        <w:tc>
          <w:tcPr>
            <w:tcW w:type="dxa" w:w="2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Hard override at &lt; 20; penalty at 20–25</w:t>
            </w:r>
          </w:p>
        </w:tc>
        <w:tc>
          <w:tcPr>
            <w:tcW w:type="dxa" w:w="29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Wilder (1978); StockCharts; consensus threshold is 25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Volume &lt; avg = hard NO TRADE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Score penalty: -2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Contradicts TTM Squeeze setup logic</w:t>
            </w:r>
          </w:p>
        </w:tc>
      </w:tr>
      <w:tr>
        <w:tc>
          <w:tcPr>
            <w:tcW w:type="dxa" w:w="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4</w:t>
            </w:r>
          </w:p>
        </w:tc>
        <w:tc>
          <w:tcPr>
            <w:tcW w:type="dxa" w:w="2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ST/HTF conflict = hard NO TRADE</w:t>
            </w:r>
          </w:p>
        </w:tc>
        <w:tc>
          <w:tcPr>
            <w:tcW w:type="dxa" w:w="2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Score penalty: -3</w:t>
            </w:r>
          </w:p>
        </w:tc>
        <w:tc>
          <w:tcPr>
            <w:tcW w:type="dxa" w:w="29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LTF can legitimately lead HTF turns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SuperTrend gray state override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Removed; ADX handles chop detection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No native gray state in standard SuperTrend</w:t>
            </w:r>
          </w:p>
        </w:tc>
      </w:tr>
      <w:tr>
        <w:tc>
          <w:tcPr>
            <w:tcW w:type="dxa" w:w="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6</w:t>
            </w:r>
          </w:p>
        </w:tc>
        <w:tc>
          <w:tcPr>
            <w:tcW w:type="dxa" w:w="2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Equal weight for all indicators</w:t>
            </w:r>
          </w:p>
        </w:tc>
        <w:tc>
          <w:tcPr>
            <w:tcW w:type="dxa" w:w="2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Tier 1 (weight 2) / Tier 2 (weight 1)</w:t>
            </w:r>
          </w:p>
        </w:tc>
        <w:tc>
          <w:tcPr>
            <w:tcW w:type="dxa" w:w="29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Composite indicator methodology; VWAP institutional significance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No minimum-data rule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INSUFFICIENT DATA if &lt; 5 active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Prevents false signals on incomplete data</w:t>
            </w:r>
          </w:p>
        </w:tc>
      </w:tr>
      <w:tr>
        <w:tc>
          <w:tcPr>
            <w:tcW w:type="dxa" w:w="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8</w:t>
            </w:r>
          </w:p>
        </w:tc>
        <w:tc>
          <w:tcPr>
            <w:tcW w:type="dxa" w:w="2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No bar-close confirmation flag</w:t>
            </w:r>
          </w:p>
        </w:tc>
        <w:tc>
          <w:tcPr>
            <w:tcW w:type="dxa" w:w="28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[Confirmed] tag on label; uses close[1]</w:t>
            </w:r>
          </w:p>
        </w:tc>
        <w:tc>
          <w:tcPr>
            <w:tcW w:type="dxa" w:w="296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vAlign w:val="center"/>
          </w:tcPr>
          <w:p>
            <w:pPr>
              <w:spacing w:line="276"/>
              <w:jc w:val="left"/>
            </w:pPr>
            <w:r>
              <w:rPr>
                <w:rFonts w:ascii="Arial" w:cs="Arial" w:eastAsia="Arial" w:hAnsi="Arial"/>
                <w:b w:val="false"/>
                <w:bCs w:val="false"/>
                <w:color w:val="2D2D2D"/>
                <w:sz w:val="20"/>
                <w:szCs w:val="20"/>
              </w:rPr>
              <w:t xml:space="preserve">Prevents mid-bar misinterpretation</w:t>
            </w:r>
          </w:p>
        </w:tc>
      </w:tr>
    </w:tbl>
    <w:p>
      <w:pPr>
        <w:pStyle w:val="Heading1"/>
        <w:spacing w:after="200" w:before="360"/>
      </w:pPr>
      <w:r>
        <w:rPr>
          <w:rFonts w:ascii="Arial" w:cs="Arial" w:eastAsia="Arial" w:hAnsi="Arial"/>
          <w:b/>
          <w:bCs/>
          <w:color w:val="1B3A5C"/>
          <w:sz w:val="32"/>
          <w:szCs w:val="32"/>
        </w:rPr>
        <w:t xml:space="preserve">8. Next Steps</w:t>
      </w:r>
    </w:p>
    <w:p>
      <w:pPr>
        <w:spacing w:after="160" w:line="276"/>
      </w:pPr>
      <w:r>
        <w:rPr>
          <w:rFonts w:ascii="Arial" w:cs="Arial" w:eastAsia="Arial" w:hAnsi="Arial"/>
          <w:b w:val="false"/>
          <w:bCs w:val="false"/>
          <w:i w:val="false"/>
          <w:iCs w:val="false"/>
          <w:color w:val="2D2D2D"/>
          <w:sz w:val="22"/>
          <w:szCs w:val="22"/>
        </w:rPr>
        <w:t xml:space="preserve">Upon approval of this execution plan:</w:t>
      </w:r>
    </w:p>
    <w:p>
      <w:pPr>
        <w:pStyle w:val="ListParagraph"/>
        <w:numPr>
          <w:ilvl w:val="0"/>
          <w:numId w:val="3"/>
        </w:numPr>
        <w:spacing w:after="100" w:line="276"/>
      </w:pPr>
      <w:r>
        <w:rPr>
          <w:rFonts w:ascii="Arial" w:cs="Arial" w:eastAsia="Arial" w:hAnsi="Arial"/>
          <w:b w:val="false"/>
          <w:bCs w:val="false"/>
          <w:i w:val="false"/>
          <w:iCs w:val="false"/>
          <w:color w:val="2D2D2D"/>
          <w:sz w:val="22"/>
          <w:szCs w:val="22"/>
        </w:rPr>
        <w:t xml:space="preserve">Begin Phase 1 coding: study shell, inputs, and placeholder labels.</w:t>
      </w:r>
    </w:p>
    <w:p>
      <w:pPr>
        <w:pStyle w:val="ListParagraph"/>
        <w:numPr>
          <w:ilvl w:val="0"/>
          <w:numId w:val="3"/>
        </w:numPr>
        <w:spacing w:after="100" w:line="276"/>
      </w:pPr>
      <w:r>
        <w:rPr>
          <w:rFonts w:ascii="Arial" w:cs="Arial" w:eastAsia="Arial" w:hAnsi="Arial"/>
          <w:b w:val="false"/>
          <w:bCs w:val="false"/>
          <w:i w:val="false"/>
          <w:iCs w:val="false"/>
          <w:color w:val="2D2D2D"/>
          <w:sz w:val="22"/>
          <w:szCs w:val="22"/>
        </w:rPr>
        <w:t xml:space="preserve">Build and independently verify each indicator module (Phase 2) before integrating into the scoring engine.</w:t>
      </w:r>
    </w:p>
    <w:p>
      <w:pPr>
        <w:pStyle w:val="ListParagraph"/>
        <w:numPr>
          <w:ilvl w:val="0"/>
          <w:numId w:val="3"/>
        </w:numPr>
        <w:spacing w:after="100" w:line="276"/>
      </w:pPr>
      <w:r>
        <w:rPr>
          <w:rFonts w:ascii="Arial" w:cs="Arial" w:eastAsia="Arial" w:hAnsi="Arial"/>
          <w:b w:val="false"/>
          <w:bCs w:val="false"/>
          <w:i w:val="false"/>
          <w:iCs w:val="false"/>
          <w:color w:val="2D2D2D"/>
          <w:sz w:val="22"/>
          <w:szCs w:val="22"/>
        </w:rPr>
        <w:t xml:space="preserve">After Phase 4, conduct the full validation protocol (Phase 5) and document final calibrated thresholds.</w:t>
      </w:r>
    </w:p>
    <w:p>
      <w:pPr>
        <w:pStyle w:val="ListParagraph"/>
        <w:numPr>
          <w:ilvl w:val="0"/>
          <w:numId w:val="3"/>
        </w:numPr>
        <w:spacing w:after="100" w:line="276"/>
      </w:pPr>
      <w:r>
        <w:rPr>
          <w:rFonts w:ascii="Arial" w:cs="Arial" w:eastAsia="Arial" w:hAnsi="Arial"/>
          <w:b w:val="false"/>
          <w:bCs w:val="false"/>
          <w:i w:val="false"/>
          <w:iCs w:val="false"/>
          <w:color w:val="2D2D2D"/>
          <w:sz w:val="22"/>
          <w:szCs w:val="22"/>
        </w:rPr>
        <w:t xml:space="preserve">Deliver the final ThinkScript file with inline documentation, parameter descriptions, and known limitation notes.</w:t>
      </w:r>
    </w:p>
    <w:p>
      <w:pPr>
        <w:spacing w:before="400"/>
      </w:pPr>
    </w:p>
    <w:p>
      <w:pPr>
        <w:pBdr>
          <w:top w:val="single" w:color="2E75B6" w:sz="4" w:space="1"/>
        </w:pBdr>
        <w:spacing w:after="100" w:before="200"/>
      </w:pPr>
      <w:r>
        <w:rPr>
          <w:rFonts w:ascii="Arial" w:cs="Arial" w:eastAsia="Arial" w:hAnsi="Arial"/>
          <w:b w:val="false"/>
          <w:bCs w:val="false"/>
          <w:i/>
          <w:iCs/>
          <w:color w:val="666666"/>
          <w:sz w:val="20"/>
          <w:szCs w:val="20"/>
        </w:rPr>
        <w:t xml:space="preserve">End of Execution Plan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b w:val="false"/>
        <w:bCs w:val="false"/>
        <w:i w:val="false"/>
        <w:iCs w:val="false"/>
        <w:color w:val="666666"/>
        <w:sz w:val="16"/>
        <w:szCs w:val="16"/>
      </w:rPr>
      <w:t xml:space="preserve">Confidential — Not Financial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b w:val="false"/>
        <w:bCs w:val="false"/>
        <w:i/>
        <w:iCs/>
        <w:color w:val="666666"/>
        <w:sz w:val="18"/>
        <w:szCs w:val="18"/>
      </w:rPr>
      <w:t xml:space="preserve">ThinkScript Signal Badge — Execution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2026-04-10T18:55:30.663Z</dcterms:created>
  <dcterms:modified xsi:type="dcterms:W3CDTF">2026-04-10T18:55:30.664Z</dcterms:modified>
</cp:coreProperties>
</file>

<file path=docProps/custom.xml><?xml version="1.0" encoding="utf-8"?>
<Properties xmlns="http://schemas.openxmlformats.org/officeDocument/2006/custom-properties" xmlns:vt="http://schemas.openxmlformats.org/officeDocument/2006/docPropsVTypes"/>
</file>