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ON THE FIRST SCREENING STAGE OF THE RAPID SYSTEMATIC LITERATURE REVIEW (SLR) ON (TRANS)GENDER AND SOCIAL MEDIA EXPERIENCES</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 </w:t>
      </w:r>
      <w:r w:rsidDel="00000000" w:rsidR="00000000" w:rsidRPr="00000000">
        <w:rPr>
          <w:rFonts w:ascii="Times New Roman" w:cs="Times New Roman" w:eastAsia="Times New Roman" w:hAnsi="Times New Roman"/>
          <w:sz w:val="24"/>
          <w:szCs w:val="24"/>
          <w:rtl w:val="0"/>
        </w:rPr>
        <w:t xml:space="preserve">This document presents the results of the initial article screening stage for a SLR on the experiences of transgender and gender-diverse (TGD) individuals on social media platforms. Following the importation of 2,838 studies from databases and the removal of duplicates, 2,022 articles underwent initial analysis. Through an iterative process of evaluation and conflict resolution among reviewers, a total of 206 studies were accepted for the subsequent stages of analysis.</w:t>
      </w:r>
    </w:p>
    <w:p w:rsidR="00000000" w:rsidDel="00000000" w:rsidP="00000000" w:rsidRDefault="00000000" w:rsidRPr="00000000" w14:paraId="00000004">
      <w:pPr>
        <w:pStyle w:val="Heading3"/>
        <w:jc w:val="both"/>
        <w:rPr>
          <w:rFonts w:ascii="Times New Roman" w:cs="Times New Roman" w:eastAsia="Times New Roman" w:hAnsi="Times New Roman"/>
          <w:b w:val="1"/>
          <w:bCs w:val="1"/>
          <w:color w:val="000000"/>
          <w:sz w:val="26"/>
          <w:szCs w:val="26"/>
        </w:rPr>
      </w:pPr>
      <w:bookmarkStart w:colFirst="0" w:colLast="0" w:name="_fl5sg6gci5ke" w:id="0"/>
      <w:bookmarkEnd w:id="0"/>
      <w:r w:rsidDel="00000000" w:rsidR="00000000" w:rsidRPr="00000000">
        <w:rPr>
          <w:rFonts w:ascii="Times New Roman" w:cs="Times New Roman" w:eastAsia="Times New Roman" w:hAnsi="Times New Roman"/>
          <w:b w:val="1"/>
          <w:bCs w:val="1"/>
          <w:color w:val="000000"/>
          <w:sz w:val="26"/>
          <w:szCs w:val="26"/>
          <w:rtl w:val="0"/>
        </w:rPr>
        <w:t xml:space="preserve">Import Statistics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Imported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Studies eligible for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2.022</w:t>
            </w:r>
            <w:r w:rsidDel="00000000" w:rsidR="00000000" w:rsidRPr="00000000">
              <w:rPr>
                <w:rtl w:val="0"/>
              </w:rPr>
            </w:r>
          </w:p>
        </w:tc>
      </w:tr>
    </w:tbl>
    <w:p w:rsidR="00000000" w:rsidDel="00000000" w:rsidP="00000000" w:rsidRDefault="00000000" w:rsidRPr="00000000" w14:paraId="0000000D">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2,022 studies were analyzed independently by two reviewers, resulting in the following categories:</w:t>
      </w:r>
    </w:p>
    <w:p w:rsidR="00000000" w:rsidDel="00000000" w:rsidP="00000000" w:rsidRDefault="00000000" w:rsidRPr="00000000" w14:paraId="0000000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ACCEPTED IN COMMON: </w:t>
      </w:r>
      <w:r w:rsidDel="00000000" w:rsidR="00000000" w:rsidRPr="00000000">
        <w:rPr>
          <w:rFonts w:ascii="Times New Roman" w:cs="Times New Roman" w:eastAsia="Times New Roman" w:hAnsi="Times New Roman"/>
          <w:sz w:val="24"/>
          <w:szCs w:val="24"/>
          <w:rtl w:val="0"/>
        </w:rPr>
        <w:t xml:space="preserve">Studies for which both reviewers agreed on inclusion;</w:t>
      </w:r>
    </w:p>
    <w:p w:rsidR="00000000" w:rsidDel="00000000" w:rsidP="00000000" w:rsidRDefault="00000000" w:rsidRPr="00000000" w14:paraId="00000011">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CONFLICTS: </w:t>
      </w:r>
      <w:r w:rsidDel="00000000" w:rsidR="00000000" w:rsidRPr="00000000">
        <w:rPr>
          <w:rFonts w:ascii="Times New Roman" w:cs="Times New Roman" w:eastAsia="Times New Roman" w:hAnsi="Times New Roman"/>
          <w:sz w:val="24"/>
          <w:szCs w:val="24"/>
          <w:rtl w:val="0"/>
        </w:rPr>
        <w:t xml:space="preserve">Studies in which reviewers disagreed with the inclusion decision.</w:t>
      </w:r>
    </w:p>
    <w:p w:rsidR="00000000" w:rsidDel="00000000" w:rsidP="00000000" w:rsidRDefault="00000000" w:rsidRPr="00000000" w14:paraId="00000012">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MAYBE: </w:t>
      </w:r>
      <w:r w:rsidDel="00000000" w:rsidR="00000000" w:rsidRPr="00000000">
        <w:rPr>
          <w:rFonts w:ascii="Times New Roman" w:cs="Times New Roman" w:eastAsia="Times New Roman" w:hAnsi="Times New Roman"/>
          <w:sz w:val="24"/>
          <w:szCs w:val="24"/>
          <w:rtl w:val="0"/>
        </w:rPr>
        <w:t xml:space="preserve">Studies whose eligibility was uncertain, with a recommendation for further analysis as a group;</w:t>
      </w:r>
    </w:p>
    <w:p w:rsidR="00000000" w:rsidDel="00000000" w:rsidP="00000000" w:rsidRDefault="00000000" w:rsidRPr="00000000" w14:paraId="00000013">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REJECTED: </w:t>
      </w:r>
      <w:r w:rsidDel="00000000" w:rsidR="00000000" w:rsidRPr="00000000">
        <w:rPr>
          <w:rFonts w:ascii="Times New Roman" w:cs="Times New Roman" w:eastAsia="Times New Roman" w:hAnsi="Times New Roman"/>
          <w:sz w:val="24"/>
          <w:szCs w:val="24"/>
          <w:rtl w:val="0"/>
        </w:rPr>
        <w:t xml:space="preserve">Studies for which both reviewers agreed on exclusion.</w:t>
      </w:r>
    </w:p>
    <w:p w:rsidR="00000000" w:rsidDel="00000000" w:rsidP="00000000" w:rsidRDefault="00000000" w:rsidRPr="00000000" w14:paraId="00000014">
      <w:pPr>
        <w:pStyle w:val="Heading3"/>
        <w:jc w:val="both"/>
        <w:rPr>
          <w:rFonts w:ascii="Times New Roman" w:cs="Times New Roman" w:eastAsia="Times New Roman" w:hAnsi="Times New Roman"/>
          <w:b w:val="1"/>
          <w:bCs w:val="1"/>
          <w:color w:val="000000"/>
          <w:sz w:val="26"/>
          <w:szCs w:val="26"/>
        </w:rPr>
      </w:pPr>
      <w:bookmarkStart w:colFirst="0" w:colLast="0" w:name="_wptr2eyym88y" w:id="1"/>
      <w:bookmarkEnd w:id="1"/>
      <w:r w:rsidDel="00000000" w:rsidR="00000000" w:rsidRPr="00000000">
        <w:rPr>
          <w:rFonts w:ascii="Times New Roman" w:cs="Times New Roman" w:eastAsia="Times New Roman" w:hAnsi="Times New Roman"/>
          <w:b w:val="1"/>
          <w:bCs w:val="1"/>
          <w:color w:val="000000"/>
          <w:sz w:val="26"/>
          <w:szCs w:val="26"/>
          <w:rtl w:val="0"/>
        </w:rPr>
        <w:t xml:space="preserve">Results from the First Filter</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Commonly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2.022</w:t>
            </w:r>
            <w:r w:rsidDel="00000000" w:rsidR="00000000" w:rsidRPr="00000000">
              <w:rPr>
                <w:rtl w:val="0"/>
              </w:rPr>
            </w:r>
          </w:p>
        </w:tc>
      </w:tr>
    </w:tbl>
    <w:p w:rsidR="00000000" w:rsidDel="00000000" w:rsidP="00000000" w:rsidRDefault="00000000" w:rsidRPr="00000000" w14:paraId="00000021">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254 conflicting studies and the 160 studies in the "maybe" category underwent an eligibility review process among the principal investigators. Two conflict resolution meetings were held, and each conflict was jointly reassessed by the two reviewers in discussions regarding the application of the inclusion/exclusion criteria. After this resolution stage, the following results were obtained:</w:t>
      </w:r>
    </w:p>
    <w:p w:rsidR="00000000" w:rsidDel="00000000" w:rsidP="00000000" w:rsidRDefault="00000000" w:rsidRPr="00000000" w14:paraId="00000022">
      <w:pPr>
        <w:pStyle w:val="Heading3"/>
        <w:rPr>
          <w:rFonts w:ascii="Times New Roman" w:cs="Times New Roman" w:eastAsia="Times New Roman" w:hAnsi="Times New Roman"/>
          <w:b w:val="1"/>
          <w:bCs w:val="1"/>
          <w:color w:val="000000"/>
          <w:sz w:val="26"/>
          <w:szCs w:val="26"/>
        </w:rPr>
      </w:pPr>
      <w:bookmarkStart w:colFirst="0" w:colLast="0" w:name="_rzonkedapqg3" w:id="2"/>
      <w:bookmarkEnd w:id="2"/>
      <w:r w:rsidDel="00000000" w:rsidR="00000000" w:rsidRPr="00000000">
        <w:rPr>
          <w:rFonts w:ascii="Times New Roman" w:cs="Times New Roman" w:eastAsia="Times New Roman" w:hAnsi="Times New Roman"/>
          <w:b w:val="1"/>
          <w:bCs w:val="1"/>
          <w:color w:val="000000"/>
          <w:sz w:val="26"/>
          <w:szCs w:val="26"/>
          <w:rtl w:val="0"/>
        </w:rPr>
        <w:t xml:space="preserve">Resolution statistics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Commonly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1.816</w:t>
            </w:r>
          </w:p>
        </w:tc>
      </w:tr>
    </w:tbl>
    <w:p w:rsidR="00000000" w:rsidDel="00000000" w:rsidP="00000000" w:rsidRDefault="00000000" w:rsidRPr="00000000" w14:paraId="00000032">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significant portion of the re-evaluated studies were subsequently excluded, primarily due to the perception that the reported relationship between TGD individuals and social media was limited to data analysis using social media posts, or articles that studied TGD individuals versus social media but in strictly biological or social settings, without any connection to experiences within social media. Below is a table listing the articles removed based on eligibility criteria.</w:t>
      </w:r>
    </w:p>
    <w:p w:rsidR="00000000" w:rsidDel="00000000" w:rsidP="00000000" w:rsidRDefault="00000000" w:rsidRPr="00000000" w14:paraId="00000033">
      <w:pPr>
        <w:spacing w:before="200" w:lineRule="auto"/>
        <w:jc w:val="both"/>
        <w:rPr>
          <w:rFonts w:ascii="Times New Roman" w:cs="Times New Roman" w:eastAsia="Times New Roman" w:hAnsi="Times New Roman"/>
        </w:rPr>
      </w:pPr>
      <w:r w:rsidDel="00000000" w:rsidR="00000000" w:rsidRPr="00000000">
        <w:rPr>
          <w:rtl w:val="0"/>
        </w:rPr>
      </w:r>
    </w:p>
    <w:tbl>
      <w:tblPr>
        <w:tblStyle w:val="Table4"/>
        <w:tblW w:w="9000.0" w:type="dxa"/>
        <w:jc w:val="left"/>
        <w:tblLayout w:type="fixed"/>
        <w:tblLook w:val="0600"/>
      </w:tblPr>
      <w:tblGrid>
        <w:gridCol w:w="1500"/>
        <w:gridCol w:w="6705"/>
        <w:gridCol w:w="795"/>
        <w:tblGridChange w:id="0">
          <w:tblGrid>
            <w:gridCol w:w="1500"/>
            <w:gridCol w:w="6705"/>
            <w:gridCol w:w="795"/>
          </w:tblGrid>
        </w:tblGridChange>
      </w:tblGrid>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Criterion</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36">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Qtd.</w:t>
            </w:r>
          </w:p>
        </w:tc>
      </w:tr>
      <w:tr>
        <w:trPr>
          <w:cantSplit w:val="0"/>
          <w:trHeight w:val="15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EC1</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does not directly address TGD individuals and their experiences, needs, or interactions in social networks from a perspective related to the design, evaluation, use, or policies of these platforms (e.g., studies focused exclusively on biomedical, legal, or general social aspects).</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1680</w:t>
            </w:r>
          </w:p>
        </w:tc>
      </w:tr>
      <w:tr>
        <w:trPr>
          <w:cantSplit w:val="0"/>
          <w:trHeight w:val="79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EC2</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addresses other aspects of identity without focusing on gender identity as a factor in social network research.</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EC3</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Non-peer-reviewed studies.</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5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EC4</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published in languages other than English or Portuguese.</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79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EC5</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study (systematic reviews, meta-analyses, and other secondary analyses that do not present new empirical data).</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EC6</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is not a full article.</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EC7</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with full text unavailable.</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127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EC8</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exclusively analyze posts, hashtags, representations about TGD experiences in social media, without direct data from TGD individuals (e.g., interviews, surveys) on their lived experiences or platform usage practices.</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315" w:hRule="atLeast"/>
          <w:tblHeader w:val="0"/>
        </w:trPr>
        <w:tc>
          <w:tcPr>
            <w:gridSpan w:val="2"/>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1816</w:t>
            </w:r>
          </w:p>
        </w:tc>
      </w:tr>
    </w:tbl>
    <w:p w:rsidR="00000000" w:rsidDel="00000000" w:rsidP="00000000" w:rsidRDefault="00000000" w:rsidRPr="00000000" w14:paraId="00000052">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First filter result</w:t>
      </w:r>
    </w:p>
    <w:p w:rsidR="00000000" w:rsidDel="00000000" w:rsidP="00000000" w:rsidRDefault="00000000" w:rsidRPr="00000000" w14:paraId="00000056">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two rounds of conflict resolution, the final scope was established as:</w:t>
      </w:r>
    </w:p>
    <w:p w:rsidR="00000000" w:rsidDel="00000000" w:rsidP="00000000" w:rsidRDefault="00000000" w:rsidRPr="00000000" w14:paraId="00000057">
      <w:pPr>
        <w:widowControl w:val="0"/>
        <w:rPr>
          <w:rFonts w:ascii="Times New Roman" w:cs="Times New Roman" w:eastAsia="Times New Roman" w:hAnsi="Times New Roman"/>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Accepted for the next filtering phase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aAnalyzed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2.022</w:t>
            </w:r>
            <w:r w:rsidDel="00000000" w:rsidR="00000000" w:rsidRPr="00000000">
              <w:rPr>
                <w:rtl w:val="0"/>
              </w:rPr>
            </w:r>
          </w:p>
        </w:tc>
      </w:tr>
    </w:tbl>
    <w:p w:rsidR="00000000" w:rsidDel="00000000" w:rsidP="00000000" w:rsidRDefault="00000000" w:rsidRPr="00000000" w14:paraId="0000006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After resolving conflicts among reviewers, the consensus rate reached 100%, with all 2,022 studies categorized without any outstanding disagreements. Before this step, the initial agreement rate was 79.4%, corresponding to 1,608 of the 2,022 evaluated studies in common agreement among the reviewers.</w:t>
      </w:r>
      <w:r w:rsidDel="00000000" w:rsidR="00000000" w:rsidRPr="00000000">
        <w:rPr>
          <w:rtl w:val="0"/>
        </w:rPr>
      </w:r>
    </w:p>
    <w:p w:rsidR="00000000" w:rsidDel="00000000" w:rsidP="00000000" w:rsidRDefault="00000000" w:rsidRPr="00000000" w14:paraId="00000061">
      <w:pPr>
        <w:spacing w:before="20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