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ON THE SECOND STAGE OF FILTERING OF THE RSL ON (TRANS)GENDER AND EXPERIENCES ON SOCIAL MEDIA</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This document presents the results of the second stage of filtering articles for the RSL on the experiences of transgender and gender-diverse (TGD) people on social media platforms. After reading the 2022 abstracts of the articles in the first filtering stage, a total of 206 articles were selected for the second stage, the diagonal reading. Through an iterative process of evaluation and conflict resolution among reviewers, a total of 72 studies were accepted to the subsequent stage of analysis, the full reading.</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second stage of screening, an additional exclusion criterion was introduced with the aim of prioritizing studies that</w:t>
      </w:r>
      <w:r w:rsidDel="00000000" w:rsidR="00000000" w:rsidRPr="00000000">
        <w:rPr>
          <w:rFonts w:ascii="Times New Roman" w:cs="Times New Roman" w:eastAsia="Times New Roman" w:hAnsi="Times New Roman"/>
          <w:sz w:val="24"/>
          <w:szCs w:val="24"/>
          <w:rtl w:val="0"/>
        </w:rPr>
        <w:t xml:space="preserve">reported</w:t>
      </w:r>
      <w:r w:rsidDel="00000000" w:rsidR="00000000" w:rsidRPr="00000000">
        <w:rPr>
          <w:rFonts w:ascii="Times New Roman" w:cs="Times New Roman" w:eastAsia="Times New Roman" w:hAnsi="Times New Roman"/>
          <w:sz w:val="24"/>
          <w:szCs w:val="24"/>
          <w:rtl w:val="0"/>
        </w:rPr>
        <w:t xml:space="preserve">Experiences and practices of using platforms from the direct perspective of TGD people. The aim was to improve alignment with the research questions (RQs), specifically narrowing the scope to experiences. Thus, studies that exclusively analyzed content or representations related to TGD experiences on social media (e.g., posts, videos, or hashtags), but without incorporating direct empirical data from TGD participants (such as interviews, questionnaires, or focus groups), were excluded. The criterion was explicitly the following:</w:t>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EC8: </w:t>
      </w:r>
      <w:r w:rsidDel="00000000" w:rsidR="00000000" w:rsidRPr="00000000">
        <w:rPr>
          <w:rFonts w:ascii="Times New Roman" w:cs="Times New Roman" w:eastAsia="Times New Roman" w:hAnsi="Times New Roman"/>
          <w:i w:val="1"/>
          <w:iCs w:val="1"/>
          <w:sz w:val="24"/>
          <w:szCs w:val="24"/>
          <w:rtl w:val="0"/>
        </w:rPr>
        <w:t xml:space="preserve">Studies that exclusively analyze content or representations of TGD experiences on social media, without including direct data from TGD individuals about their lived experiences or practices in using the platforms.</w:t>
      </w:r>
    </w:p>
    <w:p w:rsidR="00000000" w:rsidDel="00000000" w:rsidP="00000000" w:rsidRDefault="00000000" w:rsidRPr="00000000" w14:paraId="00000008">
      <w:pPr>
        <w:pStyle w:val="Heading3"/>
        <w:jc w:val="both"/>
        <w:rPr>
          <w:rFonts w:ascii="Times New Roman" w:cs="Times New Roman" w:eastAsia="Times New Roman" w:hAnsi="Times New Roman"/>
          <w:b w:val="1"/>
          <w:bCs w:val="1"/>
          <w:color w:val="000000"/>
          <w:sz w:val="26"/>
          <w:szCs w:val="26"/>
        </w:rPr>
      </w:pPr>
      <w:bookmarkStart w:colFirst="0" w:colLast="0" w:name="_by6uryhcragw" w:id="0"/>
      <w:bookmarkEnd w:id="0"/>
      <w:r w:rsidDel="00000000" w:rsidR="00000000" w:rsidRPr="00000000">
        <w:rPr>
          <w:rFonts w:ascii="Times New Roman" w:cs="Times New Roman" w:eastAsia="Times New Roman" w:hAnsi="Times New Roman"/>
          <w:b w:val="1"/>
          <w:bCs w:val="1"/>
          <w:color w:val="000000"/>
          <w:sz w:val="26"/>
          <w:szCs w:val="26"/>
          <w:rtl w:val="0"/>
        </w:rPr>
        <w:t xml:space="preserve">General statistics before conflict resolution.</w:t>
      </w:r>
    </w:p>
    <w:tbl>
      <w:tblPr>
        <w:tblStyle w:val="Table1"/>
        <w:tblpPr w:leftFromText="180" w:rightFromText="180" w:topFromText="180" w:bottomFromText="180" w:vertAnchor="text" w:horzAnchor="text" w:tblpX="450" w:tblpY="1.953125000000568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5"/>
        <w:gridCol w:w="3255"/>
        <w:tblGridChange w:id="0">
          <w:tblGrid>
            <w:gridCol w:w="5745"/>
            <w:gridCol w:w="3255"/>
          </w:tblGrid>
        </w:tblGridChange>
      </w:tblGrid>
      <w:tr>
        <w:trPr>
          <w:cantSplit w:val="0"/>
          <w:tblHeader w:val="1"/>
        </w:trPr>
        <w:tc>
          <w:tcPr/>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Amount</w:t>
            </w:r>
          </w:p>
        </w:tc>
      </w:tr>
      <w:tr>
        <w:trPr>
          <w:cantSplit w:val="0"/>
          <w:tblHeader w:val="0"/>
        </w:trPr>
        <w:tc>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the first filter</w:t>
            </w:r>
          </w:p>
        </w:tc>
        <w:tc>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r>
      <w:tr>
        <w:trPr>
          <w:cantSplit w:val="0"/>
          <w:tblHeader w:val="0"/>
        </w:trPr>
        <w:tc>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for analysis in the second filter</w:t>
            </w:r>
          </w:p>
        </w:tc>
        <w:tc>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w:t>
            </w:r>
          </w:p>
        </w:tc>
      </w:tr>
      <w:tr>
        <w:trPr>
          <w:cantSplit w:val="0"/>
          <w:tblHeader w:val="0"/>
        </w:trPr>
        <w:tc>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Agreement on eligibility and criteria used</w:t>
            </w:r>
          </w:p>
        </w:tc>
        <w:tc>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r>
      <w:tr>
        <w:trPr>
          <w:cantSplit w:val="0"/>
          <w:tblHeader w:val="0"/>
        </w:trPr>
        <w:tc>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Discrepancies regarding eligibility</w:t>
            </w:r>
          </w:p>
        </w:tc>
        <w:tc>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Discrepancies between eligibility criteria</w:t>
            </w:r>
          </w:p>
        </w:tc>
        <w:tc>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bl>
    <w:p w:rsidR="00000000" w:rsidDel="00000000" w:rsidP="00000000" w:rsidRDefault="00000000" w:rsidRPr="00000000" w14:paraId="00000015">
      <w:pPr>
        <w:pStyle w:val="Heading3"/>
        <w:jc w:val="both"/>
        <w:rPr>
          <w:rFonts w:ascii="Times New Roman" w:cs="Times New Roman" w:eastAsia="Times New Roman" w:hAnsi="Times New Roman"/>
          <w:sz w:val="24"/>
          <w:szCs w:val="24"/>
        </w:rPr>
      </w:pPr>
      <w:bookmarkStart w:colFirst="0" w:colLast="0" w:name="_fl5sg6gci5ke" w:id="1"/>
      <w:bookmarkEnd w:id="1"/>
      <w:r w:rsidDel="00000000" w:rsidR="00000000" w:rsidRPr="00000000">
        <w:rPr>
          <w:rFonts w:ascii="Times New Roman" w:cs="Times New Roman" w:eastAsia="Times New Roman" w:hAnsi="Times New Roman"/>
          <w:sz w:val="24"/>
          <w:szCs w:val="24"/>
          <w:rtl w:val="0"/>
        </w:rPr>
        <w:t xml:space="preserve">The 206 studies were analyzed independently by two reviewers, resulting in the following categories:</w:t>
      </w:r>
    </w:p>
    <w:p w:rsidR="00000000" w:rsidDel="00000000" w:rsidP="00000000" w:rsidRDefault="00000000" w:rsidRPr="00000000" w14:paraId="00000016">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ACCEPTED IN COMMON: </w:t>
      </w:r>
      <w:r w:rsidDel="00000000" w:rsidR="00000000" w:rsidRPr="00000000">
        <w:rPr>
          <w:rFonts w:ascii="Times New Roman" w:cs="Times New Roman" w:eastAsia="Times New Roman" w:hAnsi="Times New Roman"/>
          <w:sz w:val="24"/>
          <w:szCs w:val="24"/>
          <w:rtl w:val="0"/>
        </w:rPr>
        <w:t xml:space="preserve">Studies for which both reviewers agreed on inclusion;</w:t>
      </w:r>
    </w:p>
    <w:p w:rsidR="00000000" w:rsidDel="00000000" w:rsidP="00000000" w:rsidRDefault="00000000" w:rsidRPr="00000000" w14:paraId="00000018">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REJECTED: </w:t>
      </w:r>
      <w:r w:rsidDel="00000000" w:rsidR="00000000" w:rsidRPr="00000000">
        <w:rPr>
          <w:rFonts w:ascii="Times New Roman" w:cs="Times New Roman" w:eastAsia="Times New Roman" w:hAnsi="Times New Roman"/>
          <w:sz w:val="24"/>
          <w:szCs w:val="24"/>
          <w:rtl w:val="0"/>
        </w:rPr>
        <w:t xml:space="preserve">Studies for which both reviewers agreed on the exclusion criteria and the exclusion criteria used.</w:t>
      </w:r>
    </w:p>
    <w:p w:rsidR="00000000" w:rsidDel="00000000" w:rsidP="00000000" w:rsidRDefault="00000000" w:rsidRPr="00000000" w14:paraId="00000019">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CONFLICTS: </w:t>
      </w:r>
      <w:r w:rsidDel="00000000" w:rsidR="00000000" w:rsidRPr="00000000">
        <w:rPr>
          <w:rFonts w:ascii="Times New Roman" w:cs="Times New Roman" w:eastAsia="Times New Roman" w:hAnsi="Times New Roman"/>
          <w:sz w:val="24"/>
          <w:szCs w:val="24"/>
          <w:rtl w:val="0"/>
        </w:rPr>
        <w:t xml:space="preserve">Studies in which reviewers disagreed on either eligibility or the criteria used, including studies in which at least one of the authors had doubts about eligibility, with a recommendation for further joint analysis.</w:t>
      </w:r>
    </w:p>
    <w:p w:rsidR="00000000" w:rsidDel="00000000" w:rsidP="00000000" w:rsidRDefault="00000000" w:rsidRPr="00000000" w14:paraId="0000001A">
      <w:pPr>
        <w:pStyle w:val="Heading3"/>
        <w:jc w:val="both"/>
        <w:rPr>
          <w:rFonts w:ascii="Times New Roman" w:cs="Times New Roman" w:eastAsia="Times New Roman" w:hAnsi="Times New Roman"/>
          <w:b w:val="1"/>
          <w:bCs w:val="1"/>
          <w:color w:val="000000"/>
          <w:sz w:val="26"/>
          <w:szCs w:val="26"/>
        </w:rPr>
      </w:pPr>
      <w:bookmarkStart w:colFirst="0" w:colLast="0" w:name="_wptr2eyym88y" w:id="2"/>
      <w:bookmarkEnd w:id="2"/>
      <w:r w:rsidDel="00000000" w:rsidR="00000000" w:rsidRPr="00000000">
        <w:rPr>
          <w:rFonts w:ascii="Times New Roman" w:cs="Times New Roman" w:eastAsia="Times New Roman" w:hAnsi="Times New Roman"/>
          <w:b w:val="1"/>
          <w:bCs w:val="1"/>
          <w:color w:val="000000"/>
          <w:sz w:val="26"/>
          <w:szCs w:val="26"/>
          <w:rtl w:val="0"/>
        </w:rPr>
        <w:t xml:space="preserve">Results from the second filter before conflict resolution.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 in 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206</w:t>
            </w:r>
            <w:r w:rsidDel="00000000" w:rsidR="00000000" w:rsidRPr="00000000">
              <w:rPr>
                <w:rtl w:val="0"/>
              </w:rPr>
            </w:r>
          </w:p>
        </w:tc>
      </w:tr>
    </w:tbl>
    <w:p w:rsidR="00000000" w:rsidDel="00000000" w:rsidP="00000000" w:rsidRDefault="00000000" w:rsidRPr="00000000" w14:paraId="00000025">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86 studies classified as conflicting, 82 presented direct disagreements among the reviewers, while 4 were marked as doubtful regarding eligibility by at least one of the authors. All studies underwent a joint discussion process among the responsible researchers. In total, three conflict resolution meetings were held, in which each case was re-evaluated based on the application of the inclusion and exclusion criteria. After this consensus stage, the following was obtained:</w:t>
      </w:r>
    </w:p>
    <w:p w:rsidR="00000000" w:rsidDel="00000000" w:rsidP="00000000" w:rsidRDefault="00000000" w:rsidRPr="00000000" w14:paraId="00000026">
      <w:pPr>
        <w:pStyle w:val="Heading3"/>
        <w:rPr>
          <w:rFonts w:ascii="Times New Roman" w:cs="Times New Roman" w:eastAsia="Times New Roman" w:hAnsi="Times New Roman"/>
          <w:b w:val="1"/>
          <w:bCs w:val="1"/>
          <w:color w:val="000000"/>
          <w:sz w:val="26"/>
          <w:szCs w:val="26"/>
        </w:rPr>
      </w:pPr>
      <w:bookmarkStart w:colFirst="0" w:colLast="0" w:name="_rzonkedapqg3" w:id="3"/>
      <w:bookmarkEnd w:id="3"/>
      <w:r w:rsidDel="00000000" w:rsidR="00000000" w:rsidRPr="00000000">
        <w:rPr>
          <w:rFonts w:ascii="Times New Roman" w:cs="Times New Roman" w:eastAsia="Times New Roman" w:hAnsi="Times New Roman"/>
          <w:b w:val="1"/>
          <w:bCs w:val="1"/>
          <w:color w:val="000000"/>
          <w:sz w:val="26"/>
          <w:szCs w:val="26"/>
          <w:rtl w:val="0"/>
        </w:rPr>
        <w:t xml:space="preserve">Resolution statistics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Commonly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 in 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033">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portion of the studies were excluded primarily due to the introduction of an additional exclusion criterion designed to remove studies that analyzed content or representations of TGD experiences on social media, but without including direct data from TGD individuals. Many were also removed because they were not freely available on any platform. Additionally, studies that did not meet the previously defined eligibility criteria were excluded, including those focusing on distinct populations, with an excessively broad or theoretical scope, or lacking a clear description of the sample. Many studies involved social media, but it was used only as a research tool, not as an object of analysis. All exclusion decisions were recorded and justified based on the established criteria to ensure transparency and reproducibility in the selection process. The following table describes the number of studies excluded per criterion.</w:t>
      </w:r>
    </w:p>
    <w:p w:rsidR="00000000" w:rsidDel="00000000" w:rsidP="00000000" w:rsidRDefault="00000000" w:rsidRPr="00000000" w14:paraId="00000034">
      <w:pPr>
        <w:spacing w:before="200" w:lineRule="auto"/>
        <w:jc w:val="both"/>
        <w:rPr>
          <w:rFonts w:ascii="Times New Roman" w:cs="Times New Roman" w:eastAsia="Times New Roman" w:hAnsi="Times New Roman"/>
        </w:rPr>
      </w:pPr>
      <w:r w:rsidDel="00000000" w:rsidR="00000000" w:rsidRPr="00000000">
        <w:rPr>
          <w:rtl w:val="0"/>
        </w:rPr>
      </w:r>
    </w:p>
    <w:tbl>
      <w:tblPr>
        <w:tblStyle w:val="Table4"/>
        <w:tblW w:w="9000.0" w:type="dxa"/>
        <w:jc w:val="left"/>
        <w:tblLayout w:type="fixed"/>
        <w:tblLook w:val="0600"/>
      </w:tblPr>
      <w:tblGrid>
        <w:gridCol w:w="1500"/>
        <w:gridCol w:w="6705"/>
        <w:gridCol w:w="795"/>
        <w:tblGridChange w:id="0">
          <w:tblGrid>
            <w:gridCol w:w="1500"/>
            <w:gridCol w:w="6705"/>
            <w:gridCol w:w="795"/>
          </w:tblGrid>
        </w:tblGridChange>
      </w:tblGrid>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Criterion</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Qtd.</w:t>
            </w:r>
          </w:p>
        </w:tc>
      </w:tr>
      <w:tr>
        <w:trPr>
          <w:cantSplit w:val="0"/>
          <w:trHeight w:val="15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EC1</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does not directly address TGD individuals and their experiences, needs, or interactions in social networks from a perspective related to the design, evaluation, use, or policies of these platforms (e.g., studies focused exclusively on biomedical, legal, or general social aspects).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r>
      <w:tr>
        <w:trPr>
          <w:cantSplit w:val="0"/>
          <w:trHeight w:val="79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EC2</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addresses other aspects of identity without focusing on gender identity as a factor in social network research.</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EC3</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Non-peer-reviewed studies.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5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EC4</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published in languages other than English or Portuguese.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79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EC5</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study (systematic reviews, meta-analyses, and other secondary analyses that do not present new empirical data).</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EC6</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is not a full article.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EC7</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with full text unavailable.</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1275" w:hRule="atLeast"/>
          <w:tblHeader w:val="0"/>
        </w:trPr>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EC8</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that exclusively analyzes posts, hashtags, representations about TGD experiences in social media, without direct data from TGD individuals (e.g., interviews, surveys) on their lived experiences or platform usage practices.</w:t>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r>
      <w:tr>
        <w:trPr>
          <w:cantSplit w:val="0"/>
          <w:trHeight w:val="315" w:hRule="atLeast"/>
          <w:tblHeader w:val="0"/>
        </w:trPr>
        <w:tc>
          <w:tcPr>
            <w:gridSpan w:val="2"/>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50">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w:t>
            </w:r>
          </w:p>
        </w:tc>
      </w:tr>
    </w:tbl>
    <w:p w:rsidR="00000000" w:rsidDel="00000000" w:rsidP="00000000" w:rsidRDefault="00000000" w:rsidRPr="00000000" w14:paraId="00000053">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Second filter result</w:t>
      </w:r>
    </w:p>
    <w:p w:rsidR="00000000" w:rsidDel="00000000" w:rsidP="00000000" w:rsidRDefault="00000000" w:rsidRPr="00000000" w14:paraId="0000005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two rounds of conflict resolution, the final scope was established as:</w:t>
      </w:r>
    </w:p>
    <w:p w:rsidR="00000000" w:rsidDel="00000000" w:rsidP="00000000" w:rsidRDefault="00000000" w:rsidRPr="00000000" w14:paraId="00000056">
      <w:pPr>
        <w:widowControl w:val="0"/>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Accepted for the next filtering phase.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Analyzed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206</w:t>
            </w:r>
            <w:r w:rsidDel="00000000" w:rsidR="00000000" w:rsidRPr="00000000">
              <w:rPr>
                <w:rtl w:val="0"/>
              </w:rPr>
            </w:r>
          </w:p>
        </w:tc>
      </w:tr>
    </w:tbl>
    <w:p w:rsidR="00000000" w:rsidDel="00000000" w:rsidP="00000000" w:rsidRDefault="00000000" w:rsidRPr="00000000" w14:paraId="0000005F">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before="200" w:lineRule="auto"/>
        <w:jc w:val="both"/>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