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ON THE THIRD STAGE OF FILTERING THE RSL ON (TRANS)GENDER AND EXPERIENCES ON SOCIAL MEDIA</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document presents the results of the third stage of filtering articles for the RSL on the experiences of transgender and gender-diverse (TGD) people on social media platforms. After the second filtering stage, carried out through a diagonal reading of the introduction, methodology, and conclusion of the 206 selected studies, 72 articles advanced to this stage of full reading. At the end of this third stage, 45 studies were selected to compose the RSL, with their respective extracted data.</w:t>
      </w:r>
    </w:p>
    <w:p w:rsidR="00000000" w:rsidDel="00000000" w:rsidP="00000000" w:rsidRDefault="00000000" w:rsidRPr="00000000" w14:paraId="0000000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consisted of four activities carried out in parallel during the reading of the studies: (i) completion of the closed coding spreadsheet (year, publication vehicle, publication type, etc.); (ii) completion of the open code extraction spreadsheet; (iii) completion of the quality criteria assessment spreadsheet; and (iv) continuous application of the eligibility criteria. In this sense, most studies were excluded simultaneously for meeting at least one exclusion criterion and for obtaining a low score on the quality criteria. The exceptions were studies S55 and S59 (excluded only by EC2) and S66, S67, S69, and S70 (excluded only by EC1).</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only one researcher was responsible for applying the eligibility criteria and quality assessment in the third filtering stage, since all studies had already undergone two previous stages conducted independently by two researchers, which had already substantially reduced the risk of bias in the selection of studies. The second researcher's participation at this stage was limited to code extraction and alignment meetings aimed at verifying the consistency and relevance of the extracted codes. The record of these discussions is found in the code extraction and consolidation report document. Thus, the second researcher only analyzed the studies that remained after the application of the eligibility criteria and quality assessment performed by the first researcher.</w:t>
      </w:r>
    </w:p>
    <w:p w:rsidR="00000000" w:rsidDel="00000000" w:rsidP="00000000" w:rsidRDefault="00000000" w:rsidRPr="00000000" w14:paraId="00000006">
      <w:pPr>
        <w:pStyle w:val="Heading3"/>
        <w:jc w:val="both"/>
        <w:rPr>
          <w:rFonts w:ascii="Times New Roman" w:cs="Times New Roman" w:eastAsia="Times New Roman" w:hAnsi="Times New Roman"/>
          <w:b w:val="1"/>
          <w:bCs w:val="1"/>
          <w:color w:val="000000"/>
          <w:sz w:val="26"/>
          <w:szCs w:val="26"/>
        </w:rPr>
      </w:pPr>
      <w:bookmarkStart w:colFirst="0" w:colLast="0" w:name="_zd5zkb5cq9c6" w:id="0"/>
      <w:bookmarkEnd w:id="0"/>
      <w:r w:rsidDel="00000000" w:rsidR="00000000" w:rsidRPr="00000000">
        <w:rPr>
          <w:rFonts w:ascii="Times New Roman" w:cs="Times New Roman" w:eastAsia="Times New Roman" w:hAnsi="Times New Roman"/>
          <w:b w:val="1"/>
          <w:bCs w:val="1"/>
          <w:color w:val="000000"/>
          <w:sz w:val="26"/>
          <w:szCs w:val="26"/>
          <w:rtl w:val="0"/>
        </w:rPr>
        <w:t xml:space="preserve">General statistics</w:t>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gridCol w:w="3255"/>
        <w:tblGridChange w:id="0">
          <w:tblGrid>
            <w:gridCol w:w="5745"/>
            <w:gridCol w:w="3255"/>
          </w:tblGrid>
        </w:tblGridChange>
      </w:tblGrid>
      <w:tr>
        <w:trPr>
          <w:cantSplit w:val="0"/>
          <w:tblHeader w:val="1"/>
        </w:trPr>
        <w:tc>
          <w:tcPr/>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w:t>
            </w:r>
          </w:p>
        </w:tc>
      </w:tr>
      <w:tr>
        <w:trPr>
          <w:cantSplit w:val="0"/>
          <w:tblHeader w:val="0"/>
        </w:trPr>
        <w:tc>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the second filter</w:t>
            </w:r>
          </w:p>
        </w:tc>
        <w:tc>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r>
      <w:tr>
        <w:trPr>
          <w:cantSplit w:val="0"/>
          <w:tblHeader w:val="0"/>
        </w:trPr>
        <w:tc>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for analysis in the third filter</w:t>
            </w:r>
          </w:p>
        </w:tc>
        <w:tc>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blHeader w:val="0"/>
        </w:trPr>
        <w:tc>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tc>
        <w:tc>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Consolidated articles to compile the RSL.</w:t>
            </w:r>
          </w:p>
        </w:tc>
        <w:tc>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bl>
    <w:p w:rsidR="00000000" w:rsidDel="00000000" w:rsidP="00000000" w:rsidRDefault="00000000" w:rsidRPr="00000000" w14:paraId="00000011">
      <w:pPr>
        <w:pStyle w:val="Heading3"/>
        <w:jc w:val="both"/>
        <w:rPr>
          <w:rFonts w:ascii="Times New Roman" w:cs="Times New Roman" w:eastAsia="Times New Roman" w:hAnsi="Times New Roman"/>
          <w:sz w:val="24"/>
          <w:szCs w:val="24"/>
        </w:rPr>
      </w:pPr>
      <w:bookmarkStart w:colFirst="0" w:colLast="0" w:name="_i5csbwdjzzdn" w:id="1"/>
      <w:bookmarkEnd w:id="1"/>
      <w:r w:rsidDel="00000000" w:rsidR="00000000" w:rsidRPr="00000000">
        <w:rPr>
          <w:rFonts w:ascii="Times New Roman" w:cs="Times New Roman" w:eastAsia="Times New Roman" w:hAnsi="Times New Roman"/>
          <w:color w:val="000000"/>
          <w:sz w:val="24"/>
          <w:szCs w:val="24"/>
          <w:rtl w:val="0"/>
        </w:rPr>
        <w:t xml:space="preserve">Most </w:t>
      </w:r>
      <w:r w:rsidDel="00000000" w:rsidR="00000000" w:rsidRPr="00000000">
        <w:rPr>
          <w:rFonts w:ascii="Times New Roman" w:cs="Times New Roman" w:eastAsia="Times New Roman" w:hAnsi="Times New Roman"/>
          <w:sz w:val="24"/>
          <w:szCs w:val="24"/>
          <w:rtl w:val="0"/>
        </w:rPr>
        <w:t xml:space="preserve">studies were removed because they simultaneously met some exclusion criterion and failed to achieve the minimum score on the quality criteria. Among the exclusion criteria applied in this stage, only EC1 and EC2 were used, with EC2 being the most frequently employed. The studies excluded by this criterion were generally characterized by addressing people with gender dysphoria only as part of broader LGBTQIA+ samples, without disaggregated analyses for this population, or by focusing their analyses on other identity aspects, especially sexual orientation, without exploring gender identity as a relevant analytical factor. The studies excluded by EC1 presented a distinct pattern. Although some also obtained low scores on the quality criteria, their exclusion occurred mainly because they were not aligned with the scope of this SLR. In these studies, social media were not the focus of the investigation, being used only as context, means of dissemination, recruitment strategy, data source, or instrument to investigate other phenomena. Thus, the experiences of TGD people related to the use, design, evaluation, or governance of these platforms did not constitute the central object of analysis.</w:t>
      </w:r>
    </w:p>
    <w:p w:rsidR="00000000" w:rsidDel="00000000" w:rsidP="00000000" w:rsidRDefault="00000000" w:rsidRPr="00000000" w14:paraId="0000001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it was determined that studies S30 and S36 corresponded to the same article. Study S30 was a corrigendum to S36 — that is, a revised version of the original article. Therefore, the decision was made to retain S30 in the list of articles for full-text review and to record S36 as a duplicate. Consequently, in all spreadsheets documenting decisions based on the article review, study S36 was identified as a "duplicate of S30" rather than being removed from the records, in order to preserve the transparency of the selection process and facilitate traceability and reproducibility. At this stage, the studies were ordered by year of publication. The following table outlines the number of studies excluded according to each criterion.</w:t>
      </w:r>
    </w:p>
    <w:p w:rsidR="00000000" w:rsidDel="00000000" w:rsidP="00000000" w:rsidRDefault="00000000" w:rsidRPr="00000000" w14:paraId="00000013">
      <w:pPr>
        <w:spacing w:before="200" w:lineRule="auto"/>
        <w:jc w:val="both"/>
        <w:rPr>
          <w:rFonts w:ascii="Times New Roman" w:cs="Times New Roman" w:eastAsia="Times New Roman" w:hAnsi="Times New Roman"/>
        </w:rPr>
      </w:pPr>
      <w:r w:rsidDel="00000000" w:rsidR="00000000" w:rsidRPr="00000000">
        <w:rPr>
          <w:rtl w:val="0"/>
        </w:rPr>
      </w:r>
    </w:p>
    <w:tbl>
      <w:tblPr>
        <w:tblStyle w:val="Table2"/>
        <w:tblW w:w="9000.0" w:type="dxa"/>
        <w:jc w:val="left"/>
        <w:tblLayout w:type="fixed"/>
        <w:tblLook w:val="0600"/>
      </w:tblPr>
      <w:tblGrid>
        <w:gridCol w:w="1500"/>
        <w:gridCol w:w="6705"/>
        <w:gridCol w:w="795"/>
        <w:tblGridChange w:id="0">
          <w:tblGrid>
            <w:gridCol w:w="1500"/>
            <w:gridCol w:w="6705"/>
            <w:gridCol w:w="795"/>
          </w:tblGrid>
        </w:tblGridChange>
      </w:tblGrid>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Qtd.</w:t>
            </w:r>
          </w:p>
        </w:tc>
      </w:tr>
      <w:tr>
        <w:trPr>
          <w:cantSplit w:val="0"/>
          <w:trHeight w:val="15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EC1</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does not directly address TGD individuals and their experiences, needs, or interactions in social networks from a perspective related to the design, evaluation, use, or policies of these platforms (e.g., studies focused exclusively on biomedical, legal, or general social aspects).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EC2</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addresses other aspects of identity without focusing on gender identity as a factor in social network research.</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EC3</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Non-peer-reviewed studies.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5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EC4</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published in languages other than English or Portuguese.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EC5</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study (systematic reviews, meta-analyses, and other secondary analyses that do not present new empirical data).</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EC6</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is not a full article.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EC7</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with full text unavailable.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127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EC8</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exclusively analyze posts, hashtags, representations about TGD experiences in social media, without direct data from TGD individuals (e.g., interviews, surveys) on their lived experiences or platform usage practices.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1275" w:hRule="atLeast"/>
          <w:tblHeader w:val="0"/>
        </w:trPr>
        <w:tc>
          <w:tcPr>
            <w:gridSpan w:val="2"/>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Duplicated</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15" w:hRule="atLeast"/>
          <w:tblHeader w:val="0"/>
        </w:trPr>
        <w:tc>
          <w:tcPr>
            <w:gridSpan w:val="2"/>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bl>
    <w:p w:rsidR="00000000" w:rsidDel="00000000" w:rsidP="00000000" w:rsidRDefault="00000000" w:rsidRPr="00000000" w14:paraId="00000035">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 of the first filter</w:t>
      </w:r>
    </w:p>
    <w:p w:rsidR="00000000" w:rsidDel="00000000" w:rsidP="00000000" w:rsidRDefault="00000000" w:rsidRPr="00000000" w14:paraId="0000003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scope was established as follows:</w:t>
      </w:r>
    </w:p>
    <w:p w:rsidR="00000000" w:rsidDel="00000000" w:rsidP="00000000" w:rsidRDefault="00000000" w:rsidRPr="00000000" w14:paraId="00000038">
      <w:pPr>
        <w:widowControl w:val="0"/>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Analyzed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tc>
      </w:tr>
    </w:tbl>
    <w:p w:rsidR="00000000" w:rsidDel="00000000" w:rsidP="00000000" w:rsidRDefault="00000000" w:rsidRPr="00000000" w14:paraId="00000041">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before="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