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Times New Roman" w:hAnsi="Times New Roman" w:eastAsia="新細明體"/>
          <w:b w:val="0"/>
          <w:i w:val="0"/>
          <w:sz w:val="24"/>
        </w:rPr>
        <w:t>陸、參考文獻</w:t>
      </w:r>
    </w:p>
    <w:p>
      <w:pPr>
        <w:spacing w:before="0" w:after="0" w:line="240" w:lineRule="auto"/>
        <w:ind w:left="480" w:hanging="480"/>
      </w:pPr>
      <w:r>
        <w:rPr>
          <w:rFonts w:ascii="Times New Roman" w:hAnsi="Times New Roman" w:eastAsia="新細明體"/>
          <w:b w:val="0"/>
          <w:i w:val="0"/>
          <w:sz w:val="24"/>
        </w:rPr>
        <w:t>林幼麗、簡麗瑜、廖洺鋒、陳虹如（2024）。醫病共享決策於 Guillain-Barré 氏症候群病人。</w:t>
      </w:r>
      <w:r>
        <w:rPr>
          <w:rFonts w:ascii="Times New Roman" w:hAnsi="Times New Roman" w:eastAsia="新細明體"/>
          <w:b/>
          <w:i w:val="0"/>
          <w:sz w:val="24"/>
        </w:rPr>
        <w:t>台灣醫學，28</w:t>
      </w:r>
      <w:r>
        <w:rPr>
          <w:rFonts w:ascii="Times New Roman" w:hAnsi="Times New Roman" w:eastAsia="新細明體"/>
          <w:b w:val="0"/>
          <w:i w:val="0"/>
          <w:sz w:val="24"/>
        </w:rPr>
        <w:t>（4），405–414。</w:t>
      </w:r>
    </w:p>
    <w:p>
      <w:pPr>
        <w:spacing w:before="0" w:after="0" w:line="240" w:lineRule="auto"/>
        <w:ind w:left="480" w:hanging="480"/>
      </w:pPr>
      <w:r>
        <w:rPr>
          <w:rFonts w:ascii="Times New Roman" w:hAnsi="Times New Roman" w:eastAsia="新細明體"/>
          <w:b w:val="0"/>
          <w:i w:val="0"/>
          <w:sz w:val="24"/>
        </w:rPr>
        <w:t>周怡君（2018）。神經免疫療法大進步！</w:t>
      </w:r>
      <w:r>
        <w:rPr>
          <w:rFonts w:ascii="Times New Roman" w:hAnsi="Times New Roman" w:eastAsia="新細明體"/>
          <w:b/>
          <w:i w:val="0"/>
          <w:sz w:val="24"/>
        </w:rPr>
        <w:t>長庚醫訊，39</w:t>
      </w:r>
      <w:r>
        <w:rPr>
          <w:rFonts w:ascii="Times New Roman" w:hAnsi="Times New Roman" w:eastAsia="新細明體"/>
          <w:b w:val="0"/>
          <w:i w:val="0"/>
          <w:sz w:val="24"/>
        </w:rPr>
        <w:t>（12），386–388。</w:t>
      </w:r>
    </w:p>
    <w:p>
      <w:pPr>
        <w:spacing w:before="0" w:after="0" w:line="240" w:lineRule="auto"/>
        <w:ind w:left="480" w:hanging="480"/>
      </w:pPr>
      <w:r>
        <w:rPr>
          <w:rFonts w:ascii="Times New Roman" w:hAnsi="Times New Roman" w:eastAsia="新細明體"/>
          <w:b w:val="0"/>
          <w:i w:val="0"/>
          <w:sz w:val="24"/>
        </w:rPr>
        <w:t>洪伯誠（2018）。「格林─巴利」症候群。</w:t>
      </w:r>
      <w:r>
        <w:rPr>
          <w:rFonts w:ascii="Times New Roman" w:hAnsi="Times New Roman" w:eastAsia="新細明體"/>
          <w:b/>
          <w:i w:val="0"/>
          <w:sz w:val="24"/>
        </w:rPr>
        <w:t>長庚醫訊，39</w:t>
      </w:r>
      <w:r>
        <w:rPr>
          <w:rFonts w:ascii="Times New Roman" w:hAnsi="Times New Roman" w:eastAsia="新細明體"/>
          <w:b w:val="0"/>
          <w:i w:val="0"/>
          <w:sz w:val="24"/>
        </w:rPr>
        <w:t>（12），389–390。</w:t>
      </w:r>
    </w:p>
    <w:p>
      <w:pPr>
        <w:spacing w:before="0" w:after="0" w:line="240" w:lineRule="auto"/>
        <w:ind w:left="480" w:hanging="480"/>
      </w:pPr>
      <w:r>
        <w:rPr>
          <w:rFonts w:ascii="Times New Roman" w:hAnsi="Times New Roman" w:eastAsia="新細明體"/>
          <w:b w:val="0"/>
          <w:i w:val="0"/>
          <w:sz w:val="24"/>
        </w:rPr>
        <w:t>廖翊筑（2016 年 4 月 1 日）。免疫球蛋白〔衛教資料〕。臺北榮民總醫院神經醫學中心神經內科。https://wd.vghtpe.gov.tw/vghneuro/files/台北榮民總醫院%20-%20免疫球蛋白.pdf</w:t>
      </w:r>
    </w:p>
    <w:p>
      <w:pPr>
        <w:spacing w:before="0" w:after="0" w:line="240" w:lineRule="auto"/>
        <w:ind w:left="480" w:hanging="480"/>
      </w:pPr>
      <w:r>
        <w:rPr>
          <w:rFonts w:ascii="Times New Roman" w:hAnsi="Times New Roman" w:eastAsia="新細明體"/>
          <w:b w:val="0"/>
          <w:i w:val="0"/>
          <w:sz w:val="24"/>
        </w:rPr>
        <w:t>賴力行（1998）。Guillain-Barré syndrome 概論。</w:t>
      </w:r>
      <w:r>
        <w:rPr>
          <w:rFonts w:ascii="Times New Roman" w:hAnsi="Times New Roman" w:eastAsia="新細明體"/>
          <w:b/>
          <w:i w:val="0"/>
          <w:sz w:val="24"/>
        </w:rPr>
        <w:t>疫情報導，14</w:t>
      </w:r>
      <w:r>
        <w:rPr>
          <w:rFonts w:ascii="Times New Roman" w:hAnsi="Times New Roman" w:eastAsia="新細明體"/>
          <w:b w:val="0"/>
          <w:i w:val="0"/>
          <w:sz w:val="24"/>
        </w:rPr>
        <w:t>（12），422–426。</w:t>
      </w:r>
    </w:p>
    <w:p>
      <w:pPr>
        <w:spacing w:before="0" w:after="0" w:line="240" w:lineRule="auto"/>
        <w:ind w:left="480" w:hanging="480"/>
      </w:pPr>
      <w:r>
        <w:rPr>
          <w:rFonts w:ascii="Times New Roman" w:hAnsi="Times New Roman" w:eastAsia="新細明體"/>
          <w:b w:val="0"/>
          <w:i w:val="0"/>
          <w:sz w:val="24"/>
        </w:rPr>
        <w:t xml:space="preserve">Bellanti, R., &amp; Rinaldi, S. (2024). Guillain-Barré syndrome: A comprehensive review. </w:t>
      </w:r>
      <w:r>
        <w:rPr>
          <w:rFonts w:ascii="Times New Roman" w:hAnsi="Times New Roman" w:eastAsia="新細明體"/>
          <w:b w:val="0"/>
          <w:i/>
          <w:sz w:val="24"/>
        </w:rPr>
        <w:t>European Journal of Neurology, 31</w:t>
      </w:r>
      <w:r>
        <w:rPr>
          <w:rFonts w:ascii="Times New Roman" w:hAnsi="Times New Roman" w:eastAsia="新細明體"/>
          <w:b w:val="0"/>
          <w:i w:val="0"/>
          <w:sz w:val="24"/>
        </w:rPr>
        <w:t>(8), Article e16365. https://doi.org/10.1111/ene.16365</w:t>
      </w:r>
    </w:p>
    <w:p>
      <w:pPr>
        <w:spacing w:before="0" w:after="0" w:line="240" w:lineRule="auto"/>
        <w:ind w:left="480" w:hanging="480"/>
      </w:pPr>
      <w:r>
        <w:rPr>
          <w:rFonts w:ascii="Times New Roman" w:hAnsi="Times New Roman" w:eastAsia="新細明體"/>
          <w:b w:val="0"/>
          <w:i w:val="0"/>
          <w:sz w:val="24"/>
        </w:rPr>
        <w:t xml:space="preserve">Chevret, S., Hughes, R. A. C., &amp; Annane, D. (2017). Plasma exchange for Guillain-Barré syndrome. </w:t>
      </w:r>
      <w:r>
        <w:rPr>
          <w:rFonts w:ascii="Times New Roman" w:hAnsi="Times New Roman" w:eastAsia="新細明體"/>
          <w:b w:val="0"/>
          <w:i/>
          <w:sz w:val="24"/>
        </w:rPr>
        <w:t>Cochrane Database of Systematic Reviews, 2017</w:t>
      </w:r>
      <w:r>
        <w:rPr>
          <w:rFonts w:ascii="Times New Roman" w:hAnsi="Times New Roman" w:eastAsia="新細明體"/>
          <w:b w:val="0"/>
          <w:i w:val="0"/>
          <w:sz w:val="24"/>
        </w:rPr>
        <w:t>(2), Article CD001798. https://doi.org/10.1002/14651858.CD001798.pub3</w:t>
      </w:r>
    </w:p>
    <w:p>
      <w:pPr>
        <w:spacing w:before="0" w:after="0" w:line="240" w:lineRule="auto"/>
        <w:ind w:left="480" w:hanging="480"/>
      </w:pPr>
      <w:r>
        <w:rPr>
          <w:rFonts w:ascii="Times New Roman" w:hAnsi="Times New Roman" w:eastAsia="新細明體"/>
          <w:b w:val="0"/>
          <w:i w:val="0"/>
          <w:sz w:val="24"/>
        </w:rPr>
        <w:t xml:space="preserve">Doets, A. Y., Lingsma, H. F., Walgaard, C., Islam, B., Papri, N., Davidson, A., Yamagishi, Y., Kusunoki, S., Dimachkie, M. M., Waheed, W., Kolb, N., Islam, Z., Mohammad, Q. D., Harbo, T., Sindrup, S. H., Chavada, G., Willison, H. J., Casasnovas, C., Bateman, K., . . . Jacobs, B. C. (2022). Predicting outcome in Guillain-Barré syndrome: International validation of the modified Erasmus GBS Outcome Score. </w:t>
      </w:r>
      <w:r>
        <w:rPr>
          <w:rFonts w:ascii="Times New Roman" w:hAnsi="Times New Roman" w:eastAsia="新細明體"/>
          <w:b w:val="0"/>
          <w:i/>
          <w:sz w:val="24"/>
        </w:rPr>
        <w:t>Neurology, 98</w:t>
      </w:r>
      <w:r>
        <w:rPr>
          <w:rFonts w:ascii="Times New Roman" w:hAnsi="Times New Roman" w:eastAsia="新細明體"/>
          <w:b w:val="0"/>
          <w:i w:val="0"/>
          <w:sz w:val="24"/>
        </w:rPr>
        <w:t>(5), e518–⁠e532. https://doi.org/10.1212/WNL.0000000000013139</w:t>
      </w:r>
    </w:p>
    <w:p>
      <w:pPr>
        <w:spacing w:before="0" w:after="0" w:line="240" w:lineRule="auto"/>
        <w:ind w:left="480" w:hanging="480"/>
      </w:pPr>
      <w:r>
        <w:rPr>
          <w:rFonts w:ascii="Times New Roman" w:hAnsi="Times New Roman" w:eastAsia="新細明體"/>
          <w:b w:val="0"/>
          <w:i w:val="0"/>
          <w:sz w:val="24"/>
        </w:rPr>
        <w:t xml:space="preserve">Doets, A. Y., Verboon, C., van den Berg, B., Harbo, T., Cornblath, D. R., Willison, H. J., Islam, Z., Attarian, S., Barroso, F. A., Bateman, K., Benedetti, L., van den Bergh, P., Casasnovas, C., Cavaletti, G., Chavada, G., Claeys, K. G., Dardiotis, E., Davidson, A., van Doorn, P. A., . . . Jacobs, B. C. (2018). Regional variation of Guillain-Barré syndrome. </w:t>
      </w:r>
      <w:r>
        <w:rPr>
          <w:rFonts w:ascii="Times New Roman" w:hAnsi="Times New Roman" w:eastAsia="新細明體"/>
          <w:b w:val="0"/>
          <w:i/>
          <w:sz w:val="24"/>
        </w:rPr>
        <w:t>Brain, 141</w:t>
      </w:r>
      <w:r>
        <w:rPr>
          <w:rFonts w:ascii="Times New Roman" w:hAnsi="Times New Roman" w:eastAsia="新細明體"/>
          <w:b w:val="0"/>
          <w:i w:val="0"/>
          <w:sz w:val="24"/>
        </w:rPr>
        <w:t>(10), 2866–⁠2877. https://doi.org/10.1093/brain/awy232</w:t>
      </w:r>
    </w:p>
    <w:p>
      <w:pPr>
        <w:spacing w:before="0" w:after="0" w:line="240" w:lineRule="auto"/>
        <w:ind w:left="480" w:hanging="480"/>
      </w:pPr>
      <w:r>
        <w:rPr>
          <w:rFonts w:ascii="Times New Roman" w:hAnsi="Times New Roman" w:eastAsia="新細明體"/>
          <w:b w:val="0"/>
          <w:i w:val="0"/>
          <w:sz w:val="24"/>
        </w:rPr>
        <w:t xml:space="preserve">Fokke, C., van den Berg, B., Drenthen, J., Walgaard, C., van Doorn, P. A., &amp; Jacobs, B. C. (2014). Diagnosis of Guillain-Barré syndrome and validation of Brighton criteria. </w:t>
      </w:r>
      <w:r>
        <w:rPr>
          <w:rFonts w:ascii="Times New Roman" w:hAnsi="Times New Roman" w:eastAsia="新細明體"/>
          <w:b w:val="0"/>
          <w:i/>
          <w:sz w:val="24"/>
        </w:rPr>
        <w:t>Brain, 137</w:t>
      </w:r>
      <w:r>
        <w:rPr>
          <w:rFonts w:ascii="Times New Roman" w:hAnsi="Times New Roman" w:eastAsia="新細明體"/>
          <w:b w:val="0"/>
          <w:i w:val="0"/>
          <w:sz w:val="24"/>
        </w:rPr>
        <w:t>(1), 33–⁠43. https://doi.org/10.1093/brain/awt285</w:t>
      </w:r>
    </w:p>
    <w:p>
      <w:pPr>
        <w:spacing w:before="0" w:after="0" w:line="240" w:lineRule="auto"/>
        <w:ind w:left="480" w:hanging="480"/>
      </w:pPr>
      <w:r>
        <w:rPr>
          <w:rFonts w:ascii="Times New Roman" w:hAnsi="Times New Roman" w:eastAsia="新細明體"/>
          <w:b w:val="0"/>
          <w:i w:val="0"/>
          <w:sz w:val="24"/>
        </w:rPr>
        <w:t xml:space="preserve">Hughes, R. A. C., Brassington, R., Gunn, A. A., &amp; van Doorn, P. A. (2016). Corticosteroids for Guillain-Barré syndrome. </w:t>
      </w:r>
      <w:r>
        <w:rPr>
          <w:rFonts w:ascii="Times New Roman" w:hAnsi="Times New Roman" w:eastAsia="新細明體"/>
          <w:b w:val="0"/>
          <w:i/>
          <w:sz w:val="24"/>
        </w:rPr>
        <w:t>Cochrane Database of Systematic Reviews, 2016</w:t>
      </w:r>
      <w:r>
        <w:rPr>
          <w:rFonts w:ascii="Times New Roman" w:hAnsi="Times New Roman" w:eastAsia="新細明體"/>
          <w:b w:val="0"/>
          <w:i w:val="0"/>
          <w:sz w:val="24"/>
        </w:rPr>
        <w:t>(10), Article CD001446. https://doi.org/10.1002/14651858.CD001446.pub5</w:t>
      </w:r>
    </w:p>
    <w:p>
      <w:pPr>
        <w:spacing w:before="0" w:after="0" w:line="240" w:lineRule="auto"/>
        <w:ind w:left="480" w:hanging="480"/>
      </w:pPr>
      <w:r>
        <w:rPr>
          <w:rFonts w:ascii="Times New Roman" w:hAnsi="Times New Roman" w:eastAsia="新細明體"/>
          <w:b w:val="0"/>
          <w:i w:val="0"/>
          <w:sz w:val="24"/>
        </w:rPr>
        <w:t xml:space="preserve">Hughes, R. A. C., Newsom-Davis, J. M., Perkin, G. D., &amp; Pierce, J. M. (1978). Controlled trial prednisolone in acute polyneuropathy. </w:t>
      </w:r>
      <w:r>
        <w:rPr>
          <w:rFonts w:ascii="Times New Roman" w:hAnsi="Times New Roman" w:eastAsia="新細明體"/>
          <w:b w:val="0"/>
          <w:i/>
          <w:sz w:val="24"/>
        </w:rPr>
        <w:t>The Lancet, 312</w:t>
      </w:r>
      <w:r>
        <w:rPr>
          <w:rFonts w:ascii="Times New Roman" w:hAnsi="Times New Roman" w:eastAsia="新細明體"/>
          <w:b w:val="0"/>
          <w:i w:val="0"/>
          <w:sz w:val="24"/>
        </w:rPr>
        <w:t>(8093), 750–⁠753. https://doi.org/10.1016/S0140-6736(78)92644-2</w:t>
      </w:r>
    </w:p>
    <w:p>
      <w:pPr>
        <w:spacing w:before="0" w:after="0" w:line="240" w:lineRule="auto"/>
        <w:ind w:left="480" w:hanging="480"/>
      </w:pPr>
      <w:r>
        <w:rPr>
          <w:rFonts w:ascii="Times New Roman" w:hAnsi="Times New Roman" w:eastAsia="新細明體"/>
          <w:b w:val="0"/>
          <w:i w:val="0"/>
          <w:sz w:val="24"/>
        </w:rPr>
        <w:t xml:space="preserve">Hughes, R. A. C., Swan, A. V., &amp; van Doorn, P. A. (2014). Intravenous immunoglobulin for Guillain-Barré syndrome. </w:t>
      </w:r>
      <w:r>
        <w:rPr>
          <w:rFonts w:ascii="Times New Roman" w:hAnsi="Times New Roman" w:eastAsia="新細明體"/>
          <w:b w:val="0"/>
          <w:i/>
          <w:sz w:val="24"/>
        </w:rPr>
        <w:t>Cochrane Database of Systematic Reviews, 2014</w:t>
      </w:r>
      <w:r>
        <w:rPr>
          <w:rFonts w:ascii="Times New Roman" w:hAnsi="Times New Roman" w:eastAsia="新細明體"/>
          <w:b w:val="0"/>
          <w:i w:val="0"/>
          <w:sz w:val="24"/>
        </w:rPr>
        <w:t>(9), Article CD002063. https://doi.org/10.1002/14651858.CD002063.pub6</w:t>
      </w:r>
    </w:p>
    <w:p>
      <w:pPr>
        <w:spacing w:before="0" w:after="0" w:line="240" w:lineRule="auto"/>
        <w:ind w:left="480" w:hanging="480"/>
      </w:pPr>
      <w:r>
        <w:rPr>
          <w:rFonts w:ascii="Times New Roman" w:hAnsi="Times New Roman" w:eastAsia="新細明體"/>
          <w:b w:val="0"/>
          <w:i w:val="0"/>
          <w:sz w:val="24"/>
        </w:rPr>
        <w:t xml:space="preserve">Korinthenberg, R. (2013). Acute polyradiculoneuritis: Guillain-Barré syndrome. In O. Dulac, M. Lassonde, &amp; H. B. Sarnat (Eds.), </w:t>
      </w:r>
      <w:r>
        <w:rPr>
          <w:rFonts w:ascii="Times New Roman" w:hAnsi="Times New Roman" w:eastAsia="新細明體"/>
          <w:b w:val="0"/>
          <w:i/>
          <w:sz w:val="24"/>
        </w:rPr>
        <w:t>Handbook of clinical neurology: Vol. 112. Pediatric neurology part II</w:t>
      </w:r>
      <w:r>
        <w:rPr>
          <w:rFonts w:ascii="Times New Roman" w:hAnsi="Times New Roman" w:eastAsia="新細明體"/>
          <w:b w:val="0"/>
          <w:i w:val="0"/>
          <w:sz w:val="24"/>
        </w:rPr>
        <w:t xml:space="preserve"> (pp. 1157–⁠1162). Elsevier. https://doi.org/10.1016/B978-0-444-52910-7.00036-2</w:t>
      </w:r>
    </w:p>
    <w:p>
      <w:pPr>
        <w:spacing w:before="0" w:after="0" w:line="240" w:lineRule="auto"/>
        <w:ind w:left="480" w:hanging="480"/>
      </w:pPr>
      <w:r>
        <w:rPr>
          <w:rFonts w:ascii="Times New Roman" w:hAnsi="Times New Roman" w:eastAsia="新細明體"/>
          <w:b w:val="0"/>
          <w:i w:val="0"/>
          <w:sz w:val="24"/>
        </w:rPr>
        <w:t xml:space="preserve">Kroon, H.-A., Islam, Z., Navarro, J., Azad, K. A. K., Morrison, G., Pulkstenis, E., &amp; Mohammad, Q. D. (2026). Early targeted C1q inhibition with tanruprubart improves functional recovery in Guillain-Barré syndrome: Results from a phase three study (S21.002) [Abstract]. </w:t>
      </w:r>
      <w:r>
        <w:rPr>
          <w:rFonts w:ascii="Times New Roman" w:hAnsi="Times New Roman" w:eastAsia="新細明體"/>
          <w:b w:val="0"/>
          <w:i/>
          <w:sz w:val="24"/>
        </w:rPr>
        <w:t>Neurology, 106</w:t>
      </w:r>
      <w:r>
        <w:rPr>
          <w:rFonts w:ascii="Times New Roman" w:hAnsi="Times New Roman" w:eastAsia="新細明體"/>
          <w:b w:val="0"/>
          <w:i w:val="0"/>
          <w:sz w:val="24"/>
        </w:rPr>
        <w:t>(11, Suppl. 1), Article 2871. https://doi.org/10.1212/WNL.0000000000216109</w:t>
      </w:r>
    </w:p>
    <w:p>
      <w:pPr>
        <w:spacing w:before="0" w:after="0" w:line="240" w:lineRule="auto"/>
        <w:ind w:left="480" w:hanging="480"/>
      </w:pPr>
      <w:r>
        <w:rPr>
          <w:rFonts w:ascii="Times New Roman" w:hAnsi="Times New Roman" w:eastAsia="新細明體"/>
          <w:b w:val="0"/>
          <w:i w:val="0"/>
          <w:sz w:val="24"/>
        </w:rPr>
        <w:t xml:space="preserve">Kuwabara, S., Kusunoki, S., Kuwahara, M., Yamano, Y., Nishida, Y., Ishida, H., Kasuya, T., Kupperman, E., Lin, Q., Frick, G., &amp; Misawa, S. (2024). Efficacy and safety of eculizumab in Guillain-Barré syndrome: A phase 3, multicenter, double-blind, randomized, placebo-controlled clinical trial. </w:t>
      </w:r>
      <w:r>
        <w:rPr>
          <w:rFonts w:ascii="Times New Roman" w:hAnsi="Times New Roman" w:eastAsia="新細明體"/>
          <w:b w:val="0"/>
          <w:i/>
          <w:sz w:val="24"/>
        </w:rPr>
        <w:t>Journal of the Peripheral Nervous System, 29</w:t>
      </w:r>
      <w:r>
        <w:rPr>
          <w:rFonts w:ascii="Times New Roman" w:hAnsi="Times New Roman" w:eastAsia="新細明體"/>
          <w:b w:val="0"/>
          <w:i w:val="0"/>
          <w:sz w:val="24"/>
        </w:rPr>
        <w:t>(3), 339–⁠349. https://doi.org/10.1111/jns.12646</w:t>
      </w:r>
    </w:p>
    <w:p>
      <w:pPr>
        <w:spacing w:before="0" w:after="0" w:line="240" w:lineRule="auto"/>
        <w:ind w:left="480" w:hanging="480"/>
      </w:pPr>
      <w:r>
        <w:rPr>
          <w:rFonts w:ascii="Times New Roman" w:hAnsi="Times New Roman" w:eastAsia="新細明體"/>
          <w:b w:val="0"/>
          <w:i w:val="0"/>
          <w:sz w:val="24"/>
        </w:rPr>
        <w:t xml:space="preserve">Leonhard, S. E., Mandarakas, M. R., Gondim, F. A. A., Bateman, K., Ferreira, M. L. B., Cornblath, D. R., van Doorn, P. A., Dourado, M. E., Hughes, R. A. C., Islam, B., Kusunoki, S., Pardo, C. A., Reisin, R., Sejvar, J. J., Shahrizaila, N., Soares, C., Umapathi, T., Wang, Y., Yiu, E. M., . . . Jacobs, B. C. (2019). Diagnosis and management of Guillain-Barré syndrome in ten steps. </w:t>
      </w:r>
      <w:r>
        <w:rPr>
          <w:rFonts w:ascii="Times New Roman" w:hAnsi="Times New Roman" w:eastAsia="新細明體"/>
          <w:b w:val="0"/>
          <w:i/>
          <w:sz w:val="24"/>
        </w:rPr>
        <w:t>Nature Reviews Neurology, 15</w:t>
      </w:r>
      <w:r>
        <w:rPr>
          <w:rFonts w:ascii="Times New Roman" w:hAnsi="Times New Roman" w:eastAsia="新細明體"/>
          <w:b w:val="0"/>
          <w:i w:val="0"/>
          <w:sz w:val="24"/>
        </w:rPr>
        <w:t>(11), 671–⁠683. https://doi.org/10.1038/s41582-019-0250-9</w:t>
      </w:r>
    </w:p>
    <w:p>
      <w:pPr>
        <w:spacing w:before="0" w:after="0" w:line="240" w:lineRule="auto"/>
        <w:ind w:left="480" w:hanging="480"/>
      </w:pPr>
      <w:r>
        <w:rPr>
          <w:rFonts w:ascii="Times New Roman" w:hAnsi="Times New Roman" w:eastAsia="新細明體"/>
          <w:b w:val="0"/>
          <w:i w:val="0"/>
          <w:sz w:val="24"/>
        </w:rPr>
        <w:t xml:space="preserve">Pestronk, A. (n.d.). </w:t>
      </w:r>
      <w:r>
        <w:rPr>
          <w:rFonts w:ascii="Times New Roman" w:hAnsi="Times New Roman" w:eastAsia="新細明體"/>
          <w:b w:val="0"/>
          <w:i/>
          <w:sz w:val="24"/>
        </w:rPr>
        <w:t>Guillain-Barré syndrome</w:t>
      </w:r>
      <w:r>
        <w:rPr>
          <w:rFonts w:ascii="Times New Roman" w:hAnsi="Times New Roman" w:eastAsia="新細明體"/>
          <w:b w:val="0"/>
          <w:i w:val="0"/>
          <w:sz w:val="24"/>
        </w:rPr>
        <w:t>. Neuromuscular Disease Center, Washington University in St. Louis. Retrieved September 24, 2026, from https://neuromuscular.wustl.edu/antibody/gbs.htm</w:t>
      </w:r>
    </w:p>
    <w:p>
      <w:pPr>
        <w:spacing w:before="0" w:after="0" w:line="240" w:lineRule="auto"/>
        <w:ind w:left="480" w:hanging="480"/>
      </w:pPr>
      <w:r>
        <w:rPr>
          <w:rFonts w:ascii="Times New Roman" w:hAnsi="Times New Roman" w:eastAsia="新細明體"/>
          <w:b w:val="0"/>
          <w:i w:val="0"/>
          <w:sz w:val="24"/>
        </w:rPr>
        <w:t xml:space="preserve">Rajabally, Y. A. (2022). Immunoglobulin and monoclonal antibody therapies in Guillain-Barré syndrome. </w:t>
      </w:r>
      <w:r>
        <w:rPr>
          <w:rFonts w:ascii="Times New Roman" w:hAnsi="Times New Roman" w:eastAsia="新細明體"/>
          <w:b w:val="0"/>
          <w:i/>
          <w:sz w:val="24"/>
        </w:rPr>
        <w:t>Neurotherapeutics, 19</w:t>
      </w:r>
      <w:r>
        <w:rPr>
          <w:rFonts w:ascii="Times New Roman" w:hAnsi="Times New Roman" w:eastAsia="新細明體"/>
          <w:b w:val="0"/>
          <w:i w:val="0"/>
          <w:sz w:val="24"/>
        </w:rPr>
        <w:t>(3), 885–⁠896. https://doi.org/10.1007/s13311-022-01253-4</w:t>
      </w:r>
    </w:p>
    <w:p>
      <w:pPr>
        <w:spacing w:before="0" w:after="0" w:line="240" w:lineRule="auto"/>
        <w:ind w:left="480" w:hanging="480"/>
      </w:pPr>
      <w:r>
        <w:rPr>
          <w:rFonts w:ascii="Times New Roman" w:hAnsi="Times New Roman" w:eastAsia="新細明體"/>
          <w:b w:val="0"/>
          <w:i w:val="0"/>
          <w:sz w:val="24"/>
        </w:rPr>
        <w:t xml:space="preserve">Shahrizaila, N., Lehmann, H. C., &amp; Kuwabara, S. (2021). Guillain-Barré syndrome. </w:t>
      </w:r>
      <w:r>
        <w:rPr>
          <w:rFonts w:ascii="Times New Roman" w:hAnsi="Times New Roman" w:eastAsia="新細明體"/>
          <w:b w:val="0"/>
          <w:i/>
          <w:sz w:val="24"/>
        </w:rPr>
        <w:t>The Lancet, 397</w:t>
      </w:r>
      <w:r>
        <w:rPr>
          <w:rFonts w:ascii="Times New Roman" w:hAnsi="Times New Roman" w:eastAsia="新細明體"/>
          <w:b w:val="0"/>
          <w:i w:val="0"/>
          <w:sz w:val="24"/>
        </w:rPr>
        <w:t>(10280), 1214–⁠1228. https://doi.org/10.1016/S0140-6736(21)00517-1</w:t>
      </w:r>
    </w:p>
    <w:p>
      <w:pPr>
        <w:spacing w:before="0" w:after="0" w:line="240" w:lineRule="auto"/>
        <w:ind w:left="480" w:hanging="480"/>
      </w:pPr>
      <w:r>
        <w:rPr>
          <w:rFonts w:ascii="Times New Roman" w:hAnsi="Times New Roman" w:eastAsia="新細明體"/>
          <w:b w:val="0"/>
          <w:i w:val="0"/>
          <w:sz w:val="24"/>
        </w:rPr>
        <w:t xml:space="preserve">van den Berg, B., Walgaard, C., Drenthen, J., Fokke, C., Jacobs, B. C., &amp; van Doorn, P. A. (2014). Guillain-Barré syndrome: Pathogenesis, diagnosis, treatment and prognosis. </w:t>
      </w:r>
      <w:r>
        <w:rPr>
          <w:rFonts w:ascii="Times New Roman" w:hAnsi="Times New Roman" w:eastAsia="新細明體"/>
          <w:b w:val="0"/>
          <w:i/>
          <w:sz w:val="24"/>
        </w:rPr>
        <w:t>Nature Reviews Neurology, 10</w:t>
      </w:r>
      <w:r>
        <w:rPr>
          <w:rFonts w:ascii="Times New Roman" w:hAnsi="Times New Roman" w:eastAsia="新細明體"/>
          <w:b w:val="0"/>
          <w:i w:val="0"/>
          <w:sz w:val="24"/>
        </w:rPr>
        <w:t>(8), 469–⁠482. https://doi.org/10.1038/nrneurol.2014.121</w:t>
      </w:r>
    </w:p>
    <w:p>
      <w:pPr>
        <w:spacing w:before="0" w:after="0" w:line="240" w:lineRule="auto"/>
        <w:ind w:left="480" w:hanging="480"/>
      </w:pPr>
      <w:r>
        <w:rPr>
          <w:rFonts w:ascii="Times New Roman" w:hAnsi="Times New Roman" w:eastAsia="新細明體"/>
          <w:b w:val="0"/>
          <w:i w:val="0"/>
          <w:sz w:val="24"/>
        </w:rPr>
        <w:t xml:space="preserve">van Doorn, P. A., Van den Bergh, P. Y. K., Hadden, R. D. M., Avau, B., Vankrunkelsven, P., Attarian, S., Blomkwist-Markens, P. H., Cornblath, D. R., Goedee, H. S., Harbo, T., Jacobs, B. C., Kusunoki, S., Lehmann, H. C., Lewis, R. A., Lunn, M. P., Nobile-Orazio, E., Querol, L., Rajabally, Y. A., Umapathi, T., . . . Willison, H. J. (2023). European Academy of Neurology/Peripheral Nerve Society guideline on diagnosis and treatment of Guillain-Barré syndrome. </w:t>
      </w:r>
      <w:r>
        <w:rPr>
          <w:rFonts w:ascii="Times New Roman" w:hAnsi="Times New Roman" w:eastAsia="新細明體"/>
          <w:b w:val="0"/>
          <w:i/>
          <w:sz w:val="24"/>
        </w:rPr>
        <w:t>European Journal of Neurology, 30</w:t>
      </w:r>
      <w:r>
        <w:rPr>
          <w:rFonts w:ascii="Times New Roman" w:hAnsi="Times New Roman" w:eastAsia="新細明體"/>
          <w:b w:val="0"/>
          <w:i w:val="0"/>
          <w:sz w:val="24"/>
        </w:rPr>
        <w:t>(12), 3646–⁠3674. https://doi.org/10.1111/ene.16073</w:t>
      </w:r>
    </w:p>
    <w:p>
      <w:pPr>
        <w:spacing w:before="0" w:after="0" w:line="240" w:lineRule="auto"/>
        <w:ind w:left="480" w:hanging="480"/>
      </w:pPr>
      <w:r>
        <w:rPr>
          <w:rFonts w:ascii="Times New Roman" w:hAnsi="Times New Roman" w:eastAsia="新細明體"/>
          <w:b w:val="0"/>
          <w:i w:val="0"/>
          <w:sz w:val="24"/>
        </w:rPr>
        <w:t xml:space="preserve">Walgaard, C., Jacobs, B. C., Lingsma, H. F., Steyerberg, E. W., van den Berg, B., Doets, A. Y., Leonhard, S. E., Verboon, C., Huizinga, R., Drenthen, J., Arends, S., Budde, I. K., Kleyweg, R. P., Kuitwaard, K., van der Meulen, M. F. G., Samijn, J. P. A., Vermeij, F. H., Kuks, J. B. M., van Dijk, G. W., . . . van Doorn, P. A. (2021). Second intravenous immunoglobulin dose in patients with Guillain-Barré syndrome with poor prognosis (SID-GBS): A double-blind, randomised, placebo-controlled trial. </w:t>
      </w:r>
      <w:r>
        <w:rPr>
          <w:rFonts w:ascii="Times New Roman" w:hAnsi="Times New Roman" w:eastAsia="新細明體"/>
          <w:b w:val="0"/>
          <w:i/>
          <w:sz w:val="24"/>
        </w:rPr>
        <w:t>The Lancet Neurology, 20</w:t>
      </w:r>
      <w:r>
        <w:rPr>
          <w:rFonts w:ascii="Times New Roman" w:hAnsi="Times New Roman" w:eastAsia="新細明體"/>
          <w:b w:val="0"/>
          <w:i w:val="0"/>
          <w:sz w:val="24"/>
        </w:rPr>
        <w:t>(4), 275–⁠283. https://doi.org/10.1016/S1474-4422(20)30494-4</w:t>
      </w:r>
    </w:p>
    <w:p>
      <w:pPr>
        <w:spacing w:before="0" w:after="0" w:line="240" w:lineRule="auto"/>
        <w:ind w:left="480" w:hanging="480"/>
      </w:pPr>
      <w:r>
        <w:rPr>
          <w:rFonts w:ascii="Times New Roman" w:hAnsi="Times New Roman" w:eastAsia="新細明體"/>
          <w:b w:val="0"/>
          <w:i w:val="0"/>
          <w:sz w:val="24"/>
        </w:rPr>
        <w:t xml:space="preserve">Wiegers, E. J. A., &amp; Jacobs, B. C. (2025). New insights in the immune treatment of Guillain-Barré syndrome. </w:t>
      </w:r>
      <w:r>
        <w:rPr>
          <w:rFonts w:ascii="Times New Roman" w:hAnsi="Times New Roman" w:eastAsia="新細明體"/>
          <w:b w:val="0"/>
          <w:i/>
          <w:sz w:val="24"/>
        </w:rPr>
        <w:t>Current Opinion in Neurology, 38</w:t>
      </w:r>
      <w:r>
        <w:rPr>
          <w:rFonts w:ascii="Times New Roman" w:hAnsi="Times New Roman" w:eastAsia="新細明體"/>
          <w:b w:val="0"/>
          <w:i w:val="0"/>
          <w:sz w:val="24"/>
        </w:rPr>
        <w:t>(5), 471–⁠477. https://doi.org/10.1097/WCO.0000000000001408</w:t>
      </w:r>
    </w:p>
    <w:p>
      <w:pPr>
        <w:spacing w:before="0" w:after="0" w:line="240" w:lineRule="auto"/>
        <w:ind w:left="480" w:hanging="480"/>
      </w:pPr>
      <w:r>
        <w:rPr>
          <w:rFonts w:ascii="Times New Roman" w:hAnsi="Times New Roman" w:eastAsia="新細明體"/>
          <w:b w:val="0"/>
          <w:i w:val="0"/>
          <w:sz w:val="24"/>
        </w:rPr>
        <w:t xml:space="preserve">Wu, X., Shen, D., Li, T., Zhang, B., Li, C., Mao, M., Zhao, J., Liu, K., &amp; Zhang, H.-L. (2016). Distinct clinical characteristics of pediatric Guillain-Barré syndrome: A comparative study between children and adults in Northeast China. </w:t>
      </w:r>
      <w:r>
        <w:rPr>
          <w:rFonts w:ascii="Times New Roman" w:hAnsi="Times New Roman" w:eastAsia="新細明體"/>
          <w:b w:val="0"/>
          <w:i/>
          <w:sz w:val="24"/>
        </w:rPr>
        <w:t>PLOS ONE, 11</w:t>
      </w:r>
      <w:r>
        <w:rPr>
          <w:rFonts w:ascii="Times New Roman" w:hAnsi="Times New Roman" w:eastAsia="新細明體"/>
          <w:b w:val="0"/>
          <w:i w:val="0"/>
          <w:sz w:val="24"/>
        </w:rPr>
        <w:t>(3), Article e0151611. https://doi.org/10.1371/journal.pone.0151611</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