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Additional Protocol to the Convention on Cybercrime, concerning the criminalisation of acts of a racist and xenophobic nature committed through computer systems</w:t>
      </w:r>
    </w:p>
    <w:p>
      <w:r>
        <w:t>ETS No. 189 — còn hiệu lực</w:t>
      </w:r>
    </w:p>
    <w:p>
      <w:r>
        <w:t>Nguồn thô: data/raw/quoc_te_an_ninh_mang/ETS-189_nghi-dinh-thu-bo-sung-budapest-phan-biet-chung-toc.pdf</w:t>
      </w:r>
    </w:p>
    <w:p>
      <w:r>
        <w:t>European Treaty Series - No. 189</w:t>
      </w:r>
    </w:p>
    <w:p>
      <w:r>
        <w:t>Additional Protocol to the Convention on Cybercrime, concerning the</w:t>
      </w:r>
    </w:p>
    <w:p>
      <w:r>
        <w:t>criminalisation of acts of a racist and xenophobic nature committed through</w:t>
      </w:r>
    </w:p>
    <w:p>
      <w:r>
        <w:t>computer systems</w:t>
      </w:r>
    </w:p>
    <w:p>
      <w:r>
        <w:t>Strasbourg, 28.I.2003</w:t>
      </w:r>
    </w:p>
    <w:p>
      <w:r>
        <w:t>The member States of the Council of Europe and the other States Parties to the Convention</w:t>
      </w:r>
    </w:p>
    <w:p>
      <w:r>
        <w:t>on Cybercrime, opened for signature in Budapest on 23 November 2001, signatory hereto;</w:t>
      </w:r>
    </w:p>
    <w:p>
      <w:r>
        <w:t>Considering that the aim of the Council of Europe is to achieve a greater unity between its</w:t>
      </w:r>
    </w:p>
    <w:p>
      <w:r>
        <w:t>members;</w:t>
      </w:r>
    </w:p>
    <w:p>
      <w:r>
        <w:t>Recalling that all human beings are born free and equal in dignity and rights;</w:t>
      </w:r>
    </w:p>
    <w:p>
      <w:r>
        <w:t>Stressing the need to secure a full and effective implementation of all human rights without</w:t>
      </w:r>
    </w:p>
    <w:p>
      <w:r>
        <w:t>any discrimination or distinction, as enshrined in European and other international</w:t>
      </w:r>
    </w:p>
    <w:p>
      <w:r>
        <w:t>instruments;</w:t>
      </w:r>
    </w:p>
    <w:p>
      <w:r>
        <w:t>Convinced that acts of a racist and xenophobic nature constitute a violation of human rights</w:t>
      </w:r>
    </w:p>
    <w:p>
      <w:r>
        <w:t>and a threat to the rule of law and democratic stability;</w:t>
      </w:r>
    </w:p>
    <w:p>
      <w:r>
        <w:t>Considering that national and international law need to provide adequate legal responses to</w:t>
      </w:r>
    </w:p>
    <w:p>
      <w:r>
        <w:t>propaganda of a racist and xenophobic nature committed through computer systems;</w:t>
      </w:r>
    </w:p>
    <w:p>
      <w:r>
        <w:t>Aware of the fact that propaganda to such acts is often subject to criminalisation in national</w:t>
      </w:r>
    </w:p>
    <w:p>
      <w:r>
        <w:t>legislation;</w:t>
      </w:r>
    </w:p>
    <w:p>
      <w:r>
        <w:t>Having regard to the Convention on Cybercrime, which provides for modern and flexible</w:t>
      </w:r>
    </w:p>
    <w:p>
      <w:r>
        <w:t>means of international co-operation and convinced of the need to harmonise substantive law</w:t>
      </w:r>
    </w:p>
    <w:p>
      <w:r>
        <w:t>provisions concerning the fight against racist and xenophobic propaganda;</w:t>
      </w:r>
    </w:p>
    <w:p>
      <w:r>
        <w:t>Aware that computer systems offer an unprecedented means of facilitating freedom of</w:t>
      </w:r>
    </w:p>
    <w:p>
      <w:r>
        <w:t>expression and communication around the globe;</w:t>
      </w:r>
    </w:p>
    <w:p>
      <w:r>
        <w:t>Recognising that freedom of expression constitutes one of the essential foundations of a</w:t>
      </w:r>
    </w:p>
    <w:p>
      <w:r>
        <w:t>democratic society, and is one of the basic conditions for its progress and for the development</w:t>
      </w:r>
    </w:p>
    <w:p>
      <w:r>
        <w:t>of every human being;</w:t>
      </w:r>
    </w:p>
    <w:p>
      <w:r>
        <w:t>Concerned, however, by the risk of misuse or abuse of such computer systems to</w:t>
      </w:r>
    </w:p>
    <w:p>
      <w:r>
        <w:t>disseminate racist and xenophobic propaganda;</w:t>
      </w:r>
    </w:p>
    <w:p>
      <w:r>
        <w:t>Mindful of the need to ensure a proper balance between freedom of expression and an</w:t>
      </w:r>
    </w:p>
    <w:p>
      <w:r>
        <w:t>effective fight against acts of a racist and xenophobic nature;</w:t>
      </w:r>
    </w:p>
    <w:p>
      <w:r>
        <w:t>Recognising that this Protocol is not intended to affect established principles relating to</w:t>
      </w:r>
    </w:p>
    <w:p>
      <w:r>
        <w:t>freedom of expression in national legal systems;</w:t>
      </w:r>
    </w:p>
    <w:p>
      <w:r>
        <w:t>ETS 189 – Cybercrime (Additional Protocol), 28.I.2003</w:t>
      </w:r>
    </w:p>
    <w:p>
      <w:r>
        <w:t>__________________________________________________________________________________</w:t>
      </w:r>
    </w:p>
    <w:p>
      <w:r>
        <w:t>2</w:t>
      </w:r>
    </w:p>
    <w:p>
      <w:r>
        <w:t>Taking into account the relevant international legal instruments in this field, and in particular</w:t>
      </w:r>
    </w:p>
    <w:p>
      <w:r>
        <w:t>the Convention for the Protection of Human Rights and Fundamental Freedoms and its</w:t>
      </w:r>
    </w:p>
    <w:p>
      <w:r>
        <w:t>Protocol No. 12 concerning the general prohibition of discrimination, the existing Council of</w:t>
      </w:r>
    </w:p>
    <w:p>
      <w:r>
        <w:t>Europe conventions on co-operation in the penal field, in particular the Convention on</w:t>
      </w:r>
    </w:p>
    <w:p>
      <w:r>
        <w:t>Cybercrime, the United Nations International Convention on the Elimination of All Forms of</w:t>
      </w:r>
    </w:p>
    <w:p>
      <w:r>
        <w:t>Racial Discrimination of 21 December 1965, the European Union Joint Action of 15 July 1996</w:t>
      </w:r>
    </w:p>
    <w:p>
      <w:r>
        <w:t>adopted by the Council on the basis of Article K.3 of the Treaty on European Union,</w:t>
      </w:r>
    </w:p>
    <w:p>
      <w:r>
        <w:t>concerning action to combat racism and xenophobia;</w:t>
      </w:r>
    </w:p>
    <w:p>
      <w:r>
        <w:t>Welcoming the recent developments which further advance international understanding and</w:t>
      </w:r>
    </w:p>
    <w:p>
      <w:r>
        <w:t>co-operation in combating cybercrime and racism and xenophobia;</w:t>
      </w:r>
    </w:p>
    <w:p>
      <w:r>
        <w:t>Having regard to the Action Plan adopted by the Heads of State and Government of the</w:t>
      </w:r>
    </w:p>
    <w:p>
      <w:r>
        <w:t>Council of Europe on the occasion of their Second Summit (Strasbourg, 10-11 October 1997)</w:t>
      </w:r>
    </w:p>
    <w:p>
      <w:r>
        <w:t>to seek common responses to the developments of the new technologies based on the</w:t>
      </w:r>
    </w:p>
    <w:p>
      <w:r>
        <w:t>standards and values of the Council of Europe;</w:t>
      </w:r>
    </w:p>
    <w:p>
      <w:r>
        <w:t>Have agreed as follows:</w:t>
      </w:r>
    </w:p>
    <w:p>
      <w:pPr>
        <w:pStyle w:val="Heading2"/>
      </w:pPr>
      <w:r>
        <w:t>Chapter I – Common provisions</w:t>
      </w:r>
    </w:p>
    <w:p>
      <w:pPr>
        <w:pStyle w:val="Heading4"/>
      </w:pPr>
      <w:r>
        <w:t>Article 1 – Purpose</w:t>
      </w:r>
    </w:p>
    <w:p>
      <w:r>
        <w:t>The purpose of this Protocol is to supplement, as between the Parties to the Protocol, the</w:t>
      </w:r>
    </w:p>
    <w:p>
      <w:r>
        <w:t>provisions of the Convention on Cybercrime, opened for signature in Budapest on</w:t>
      </w:r>
    </w:p>
    <w:p>
      <w:r>
        <w:t>23 November 2001 (hereinafter referred to as “the Convention”), as regards the</w:t>
      </w:r>
    </w:p>
    <w:p>
      <w:r>
        <w:t>criminalisation of acts of a racist and xenophobic nature committed through computer</w:t>
      </w:r>
    </w:p>
    <w:p>
      <w:r>
        <w:t>systems.</w:t>
      </w:r>
    </w:p>
    <w:p>
      <w:pPr>
        <w:pStyle w:val="Heading4"/>
      </w:pPr>
      <w:r>
        <w:t>Article 2 – Definition</w:t>
      </w:r>
    </w:p>
    <w:p>
      <w:r>
        <w:t>1</w:t>
      </w:r>
    </w:p>
    <w:p>
      <w:r>
        <w:t>For the purposes of this Protocol:</w:t>
      </w:r>
    </w:p>
    <w:p>
      <w:r>
        <w:t>"racist and xenophobic material" means any written material, any image or any other</w:t>
      </w:r>
    </w:p>
    <w:p>
      <w:r>
        <w:t>representation of ideas</w:t>
      </w:r>
    </w:p>
    <w:p>
      <w:r>
        <w:t>or theories, which advocates, promotes or incites hatred,</w:t>
      </w:r>
    </w:p>
    <w:p>
      <w:r>
        <w:t>discrimination or violence, against any individual or group of individuals, based on race,</w:t>
      </w:r>
    </w:p>
    <w:p>
      <w:r>
        <w:t>colour, descent or national or ethnic origin, as well as religion if used as a pretext for any of</w:t>
      </w:r>
    </w:p>
    <w:p>
      <w:r>
        <w:t>these factors.</w:t>
      </w:r>
    </w:p>
    <w:p>
      <w:r>
        <w:t>2</w:t>
      </w:r>
    </w:p>
    <w:p>
      <w:r>
        <w:t>The terms and expressions used in this Protocol shall be interpreted in the same manner as</w:t>
      </w:r>
    </w:p>
    <w:p>
      <w:r>
        <w:t>they are interpreted under the Convention.</w:t>
      </w:r>
    </w:p>
    <w:p>
      <w:pPr>
        <w:pStyle w:val="Heading2"/>
      </w:pPr>
      <w:r>
        <w:t>Chapter II – Measures to be taken at national level</w:t>
      </w:r>
    </w:p>
    <w:p>
      <w:pPr>
        <w:pStyle w:val="Heading4"/>
      </w:pPr>
      <w:r>
        <w:t>Article 3 – Dissemination of racist and xenophobic material through computer systems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the following conduct:</w:t>
      </w:r>
    </w:p>
    <w:p>
      <w:r>
        <w:t>distributing, or otherwise making available, racist and xenophobic material to the public</w:t>
      </w:r>
    </w:p>
    <w:p>
      <w:r>
        <w:t>through a computer system.</w:t>
      </w:r>
    </w:p>
    <w:p>
      <w:r>
        <w:t>2</w:t>
      </w:r>
    </w:p>
    <w:p>
      <w:r>
        <w:t>A Party may reserve the right not to attach criminal liability to conduct as defined by</w:t>
      </w:r>
    </w:p>
    <w:p>
      <w:r>
        <w:t>paragraph 1 of this article, where the material, as defined in Article 2, paragraph 1, advocates,</w:t>
      </w:r>
    </w:p>
    <w:p>
      <w:r>
        <w:t>promotes or incites discrimination that is not associated with hatred or violence, provided that</w:t>
      </w:r>
    </w:p>
    <w:p>
      <w:r>
        <w:t>other effective remedies are available.</w:t>
      </w:r>
    </w:p>
    <w:p>
      <w:r>
        <w:t>ETS 189 – Cybercrime (Additional Protocol), 28.I.2003</w:t>
      </w:r>
    </w:p>
    <w:p>
      <w:r>
        <w:t>__________________________________________________________________________________</w:t>
      </w:r>
    </w:p>
    <w:p>
      <w:r>
        <w:t>3</w:t>
      </w:r>
    </w:p>
    <w:p>
      <w:r>
        <w:t>3</w:t>
      </w:r>
    </w:p>
    <w:p>
      <w:r>
        <w:t>Notwithstanding paragraph 2 of this article, a Party may reserve the right not to apply</w:t>
      </w:r>
    </w:p>
    <w:p>
      <w:r>
        <w:t>paragraph 1 to those cases of discrimination for which, due to established principles in its</w:t>
      </w:r>
    </w:p>
    <w:p>
      <w:r>
        <w:t>national legal system concerning freedom of expression, it cannot provide for effective</w:t>
      </w:r>
    </w:p>
    <w:p>
      <w:r>
        <w:t>remedies as referred to in the said paragraph 2.</w:t>
      </w:r>
    </w:p>
    <w:p>
      <w:pPr>
        <w:pStyle w:val="Heading4"/>
      </w:pPr>
      <w:r>
        <w:t>Article 4 – Racist and xenophobic motivated threat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the following conduct:</w:t>
      </w:r>
    </w:p>
    <w:p>
      <w:r>
        <w:t>threatening, through a computer system, with the commission of a serious criminal offence as</w:t>
      </w:r>
    </w:p>
    <w:p>
      <w:r>
        <w:t>defined under its domestic law, (i) persons for the reason that they belong to a group,</w:t>
      </w:r>
    </w:p>
    <w:p>
      <w:r>
        <w:t>distinguished by race, colour, descent or national or ethnic origin, as well as religion, if used</w:t>
      </w:r>
    </w:p>
    <w:p>
      <w:r>
        <w:t>as a pretext for any of these factors, or (ii) a group of persons which is distinguished by any of</w:t>
      </w:r>
    </w:p>
    <w:p>
      <w:r>
        <w:t>these characteristics.</w:t>
      </w:r>
    </w:p>
    <w:p>
      <w:pPr>
        <w:pStyle w:val="Heading4"/>
      </w:pPr>
      <w:r>
        <w:t>Article 5 – Racist and xenophobic motivated insult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the following conduct:</w:t>
      </w:r>
    </w:p>
    <w:p>
      <w:r>
        <w:t>insulting publicly, through a computer system, (i) persons for the reason that they belong to a</w:t>
      </w:r>
    </w:p>
    <w:p>
      <w:r>
        <w:t>group distinguished by race, colour, descent or national or ethnic origin, as well as religion, if</w:t>
      </w:r>
    </w:p>
    <w:p>
      <w:r>
        <w:t>used as a pretext for any of these factors; or (ii) a group of persons which is distinguished by</w:t>
      </w:r>
    </w:p>
    <w:p>
      <w:r>
        <w:t>any of these characteristics.</w:t>
      </w:r>
    </w:p>
    <w:p>
      <w:r>
        <w:t>2</w:t>
      </w:r>
    </w:p>
    <w:p>
      <w:r>
        <w:t>A Party may either:</w:t>
      </w:r>
    </w:p>
    <w:p>
      <w:r>
        <w:t>a</w:t>
      </w:r>
    </w:p>
    <w:p>
      <w:r>
        <w:t>require that the offence referred to in paragraph 1 of this article has the effect that the</w:t>
      </w:r>
    </w:p>
    <w:p>
      <w:r>
        <w:t>person or group of persons referred to in paragraph 1 is exposed to hatred, contempt or</w:t>
      </w:r>
    </w:p>
    <w:p>
      <w:r>
        <w:t>ridicule; or</w:t>
      </w:r>
    </w:p>
    <w:p>
      <w:r>
        <w:t>b</w:t>
      </w:r>
    </w:p>
    <w:p>
      <w:r>
        <w:t>reserve the right not to apply, in whole or in part, paragraph 1 of this article.</w:t>
      </w:r>
    </w:p>
    <w:p>
      <w:pPr>
        <w:pStyle w:val="Heading4"/>
      </w:pPr>
      <w:r>
        <w:t>Article 6 –</w:t>
      </w:r>
    </w:p>
    <w:p>
      <w:r>
        <w:t>Denial, gross minimisation, approval or justification of genocide or crimes</w:t>
      </w:r>
    </w:p>
    <w:p>
      <w:r>
        <w:t>against humanity</w:t>
      </w:r>
    </w:p>
    <w:p>
      <w:r>
        <w:t>1</w:t>
      </w:r>
    </w:p>
    <w:p>
      <w:r>
        <w:t>Each Party shall adopt such legislative measures as may be necessary to establish the</w:t>
      </w:r>
    </w:p>
    <w:p>
      <w:r>
        <w:t>following conduct as criminal offences under its domestic law, when committed intentionally</w:t>
      </w:r>
    </w:p>
    <w:p>
      <w:r>
        <w:t>and without right:</w:t>
      </w:r>
    </w:p>
    <w:p>
      <w:r>
        <w:t>distributing or otherwise making available, through a computer system to the public, material</w:t>
      </w:r>
    </w:p>
    <w:p>
      <w:r>
        <w:t>which denies, grossly minimises, approves or justifies acts constituting genocide or crimes</w:t>
      </w:r>
    </w:p>
    <w:p>
      <w:r>
        <w:t>against humanity, as defined by international law and recognised as such by final and binding</w:t>
      </w:r>
    </w:p>
    <w:p>
      <w:r>
        <w:t>decisions of the International Military Tribunal, established by the London Agreement of</w:t>
      </w:r>
    </w:p>
    <w:p>
      <w:r>
        <w:t>8 August 1945, or of any other international court established by relevant international</w:t>
      </w:r>
    </w:p>
    <w:p>
      <w:r>
        <w:t>instruments and whose jurisdiction is recognised by that Party.</w:t>
      </w:r>
    </w:p>
    <w:p>
      <w:r>
        <w:t>2</w:t>
      </w:r>
    </w:p>
    <w:p>
      <w:r>
        <w:t>A Party may either</w:t>
      </w:r>
    </w:p>
    <w:p>
      <w:r>
        <w:t>a</w:t>
      </w:r>
    </w:p>
    <w:p>
      <w:r>
        <w:t>require that the denial or the gross minimisation referred to in paragraph 1 of this article</w:t>
      </w:r>
    </w:p>
    <w:p>
      <w:r>
        <w:t>is committed with the intent to incite hatred, discrimination or violence against any</w:t>
      </w:r>
    </w:p>
    <w:p>
      <w:r>
        <w:t>individual or group of individuals, based on race, colour, descent or national or ethnic</w:t>
      </w:r>
    </w:p>
    <w:p>
      <w:r>
        <w:t>origin, as well as religion if used as a pretext for any of these factors, or otherwise</w:t>
      </w:r>
    </w:p>
    <w:p>
      <w:r>
        <w:t>ETS 189 – Cybercrime (Additional Protocol), 28.I.2003</w:t>
      </w:r>
    </w:p>
    <w:p>
      <w:r>
        <w:t>__________________________________________________________________________________</w:t>
      </w:r>
    </w:p>
    <w:p>
      <w:r>
        <w:t>4</w:t>
      </w:r>
    </w:p>
    <w:p>
      <w:r>
        <w:t>b</w:t>
      </w:r>
    </w:p>
    <w:p>
      <w:r>
        <w:t>reserve the right not to apply, in whole or in part, paragraph 1 of this article.</w:t>
      </w:r>
    </w:p>
    <w:p>
      <w:pPr>
        <w:pStyle w:val="Heading4"/>
      </w:pPr>
      <w:r>
        <w:t>Article 7 – Aiding and abetting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aiding or abetting the commission of any of the offences established in accordance with this</w:t>
      </w:r>
    </w:p>
    <w:p>
      <w:r>
        <w:t>Protocol, with intent that such offence be committed.</w:t>
      </w:r>
    </w:p>
    <w:p>
      <w:pPr>
        <w:pStyle w:val="Heading2"/>
      </w:pPr>
      <w:r>
        <w:t>Chapter III – Relations between the Convention and this Protocol</w:t>
      </w:r>
    </w:p>
    <w:p>
      <w:pPr>
        <w:pStyle w:val="Heading4"/>
      </w:pPr>
      <w:r>
        <w:t>Article 8 – Relations between the Convention and this Protocol</w:t>
      </w:r>
    </w:p>
    <w:p>
      <w:r>
        <w:t>1</w:t>
      </w:r>
    </w:p>
    <w:p>
      <w:r>
        <w:t>Articles 1, 12, 13, 22, 41, 44, 45 and 46 of the Convention shall apply, mutatis mutandis, to</w:t>
      </w:r>
    </w:p>
    <w:p>
      <w:r>
        <w:t>this Protocol.</w:t>
      </w:r>
    </w:p>
    <w:p>
      <w:r>
        <w:t>2</w:t>
      </w:r>
    </w:p>
    <w:p>
      <w:r>
        <w:t>The Parties shall extend the scope of application of the measures defined in Articles 14 to 21</w:t>
      </w:r>
    </w:p>
    <w:p>
      <w:r>
        <w:t>and Articles 23 to 35 of the Convention, to Articles 2 to 7 of this Protocol.</w:t>
      </w:r>
    </w:p>
    <w:p>
      <w:pPr>
        <w:pStyle w:val="Heading2"/>
      </w:pPr>
      <w:r>
        <w:t>Chapter IV – Final provisions</w:t>
      </w:r>
    </w:p>
    <w:p>
      <w:pPr>
        <w:pStyle w:val="Heading4"/>
      </w:pPr>
      <w:r>
        <w:t>Article 9 – Expression of consent to be bound</w:t>
      </w:r>
    </w:p>
    <w:p>
      <w:r>
        <w:t>1</w:t>
      </w:r>
    </w:p>
    <w:p>
      <w:r>
        <w:t>This Protocol shall be open for signature by the States which have signed the Convention,</w:t>
      </w:r>
    </w:p>
    <w:p>
      <w:r>
        <w:t>which may express their consent to be bound by either:</w:t>
      </w:r>
    </w:p>
    <w:p>
      <w:r>
        <w:t>a</w:t>
      </w:r>
    </w:p>
    <w:p>
      <w:r>
        <w:t>signature without reservation as to ratification, acceptance or approval; or</w:t>
      </w:r>
    </w:p>
    <w:p>
      <w:r>
        <w:t>b</w:t>
      </w:r>
    </w:p>
    <w:p>
      <w:r>
        <w:t>subject to ratification, acceptance or approval, followed by ratification, acceptance or</w:t>
      </w:r>
    </w:p>
    <w:p>
      <w:r>
        <w:t>approval.</w:t>
      </w:r>
    </w:p>
    <w:p>
      <w:r>
        <w:t>2</w:t>
      </w:r>
    </w:p>
    <w:p>
      <w:r>
        <w:t>A State may not sign this Protocol without reservation as to ratification, acceptance or</w:t>
      </w:r>
    </w:p>
    <w:p>
      <w:r>
        <w:t>approval, or deposit an instrument of ratification, acceptance or approval, unless it has</w:t>
      </w:r>
    </w:p>
    <w:p>
      <w:r>
        <w:t>already deposited or simultaneously deposits an instrument of ratification, acceptance or</w:t>
      </w:r>
    </w:p>
    <w:p>
      <w:r>
        <w:t>approval of the Convention.</w:t>
      </w:r>
    </w:p>
    <w:p>
      <w:r>
        <w:t>3</w:t>
      </w:r>
    </w:p>
    <w:p>
      <w:r>
        <w:t>The instruments of ratification, acceptance or approval shall be deposited with the Secretary</w:t>
      </w:r>
    </w:p>
    <w:p>
      <w:r>
        <w:t>General of the Council of Europe.</w:t>
      </w:r>
    </w:p>
    <w:p>
      <w:pPr>
        <w:pStyle w:val="Heading4"/>
      </w:pPr>
      <w:r>
        <w:t>Article 10 – Entry into force</w:t>
      </w:r>
    </w:p>
    <w:p>
      <w:r>
        <w:t>1</w:t>
      </w:r>
    </w:p>
    <w:p>
      <w:r>
        <w:t>This Protocol shall enter into force on the first day of the month following the expiration of a</w:t>
      </w:r>
    </w:p>
    <w:p>
      <w:r>
        <w:t>period of three months after the date on which five States have expressed their consent to be</w:t>
      </w:r>
    </w:p>
    <w:p>
      <w:r>
        <w:t>bound by the Protocol, in accordance with the provisions of Article 9.</w:t>
      </w:r>
    </w:p>
    <w:p>
      <w:r>
        <w:t>2</w:t>
      </w:r>
    </w:p>
    <w:p>
      <w:r>
        <w:t>In respect of any State which subsequently expresses its consent to be bound by it, the</w:t>
      </w:r>
    </w:p>
    <w:p>
      <w:r>
        <w:t>Protocol shall enter into force on the first day of the month following the expiration of a period</w:t>
      </w:r>
    </w:p>
    <w:p>
      <w:r>
        <w:t>of three months after the date of its signature without reservation as to ratification, acceptance</w:t>
      </w:r>
    </w:p>
    <w:p>
      <w:r>
        <w:t>or approval or deposit of its instrument of ratification, acceptance or approval.</w:t>
      </w:r>
    </w:p>
    <w:p>
      <w:pPr>
        <w:pStyle w:val="Heading4"/>
      </w:pPr>
      <w:r>
        <w:t>Article 11 – Accession</w:t>
      </w:r>
    </w:p>
    <w:p>
      <w:r>
        <w:t>1</w:t>
      </w:r>
    </w:p>
    <w:p>
      <w:r>
        <w:t>After the entry into force of this Protocol, any State which has acceded to the Convention may</w:t>
      </w:r>
    </w:p>
    <w:p>
      <w:r>
        <w:t>also accede to the Protocol.</w:t>
      </w:r>
    </w:p>
    <w:p>
      <w:r>
        <w:t>ETS 189 – Cybercrime (Additional Protocol), 28.I.2003</w:t>
      </w:r>
    </w:p>
    <w:p>
      <w:r>
        <w:t>__________________________________________________________________________________</w:t>
      </w:r>
    </w:p>
    <w:p>
      <w:r>
        <w:t>5</w:t>
      </w:r>
    </w:p>
    <w:p>
      <w:r>
        <w:t>2</w:t>
      </w:r>
    </w:p>
    <w:p>
      <w:r>
        <w:t>Accession shall be effected by the deposit with the Secretary General of the Council of</w:t>
      </w:r>
    </w:p>
    <w:p>
      <w:r>
        <w:t>Europe of an instrument of accession which shall take effect on the first day of the month</w:t>
      </w:r>
    </w:p>
    <w:p>
      <w:r>
        <w:t>following the expiration of a period of three months after the date of its deposit.</w:t>
      </w:r>
    </w:p>
    <w:p>
      <w:pPr>
        <w:pStyle w:val="Heading4"/>
      </w:pPr>
      <w:r>
        <w:t>Article 12 – Reservations and declarations</w:t>
      </w:r>
    </w:p>
    <w:p>
      <w:r>
        <w:t>1</w:t>
      </w:r>
    </w:p>
    <w:p>
      <w:r>
        <w:t>Reservations and declarations made by a Party to a provision of the Convention shall be</w:t>
      </w:r>
    </w:p>
    <w:p>
      <w:r>
        <w:t>applicable also to this Protocol, unless that Party declares otherwise at the time of signature</w:t>
      </w:r>
    </w:p>
    <w:p>
      <w:r>
        <w:t>or when depositing its instrument of ratification, acceptance, approval or accession.</w:t>
      </w:r>
    </w:p>
    <w:p>
      <w:r>
        <w:t>2</w:t>
      </w:r>
    </w:p>
    <w:p>
      <w:r>
        <w:t>By a written notification addressed to the Secretary General of the Council of Europe, any</w:t>
      </w:r>
    </w:p>
    <w:p>
      <w:r>
        <w:t>Party may, at the time of signature or when depositing its instrument of ratification,</w:t>
      </w:r>
    </w:p>
    <w:p>
      <w:r>
        <w:t>acceptance, approval or accession, declare that it avails itself of the reservation(s) provided</w:t>
      </w:r>
    </w:p>
    <w:p>
      <w:r>
        <w:t>for in Articles 3, 5 and 6 of this Protocol. At the same time, a Party may avail itself, with</w:t>
      </w:r>
    </w:p>
    <w:p>
      <w:r>
        <w:t>respect to the provisions of this Protocol, of the reservation(s) provided for in Article 22,</w:t>
      </w:r>
    </w:p>
    <w:p>
      <w:r>
        <w:t>paragraph 2, and Article 41, paragraph 1, of the Convention, irrespective of the</w:t>
      </w:r>
    </w:p>
    <w:p>
      <w:r>
        <w:t>implementation made by that Party under the Convention. No other reservations may be</w:t>
      </w:r>
    </w:p>
    <w:p>
      <w:r>
        <w:t>made.</w:t>
      </w:r>
    </w:p>
    <w:p>
      <w:r>
        <w:t>3</w:t>
      </w:r>
    </w:p>
    <w:p>
      <w:r>
        <w:t>By a written notification addressed to the Secretary General of the Council of Europe, any</w:t>
      </w:r>
    </w:p>
    <w:p>
      <w:r>
        <w:t>State may, at the time of signature or when depositing its instrument of ratification,</w:t>
      </w:r>
    </w:p>
    <w:p>
      <w:r>
        <w:t>acceptance, approval or accession, declare that it avails itself of the possibility of requiring</w:t>
      </w:r>
    </w:p>
    <w:p>
      <w:r>
        <w:t>additional elements as provided for in Article 5, paragraph 2.a, and Article 6, paragraph 2.a, of</w:t>
      </w:r>
    </w:p>
    <w:p>
      <w:r>
        <w:t>this Protocol.</w:t>
      </w:r>
    </w:p>
    <w:p>
      <w:pPr>
        <w:pStyle w:val="Heading4"/>
      </w:pPr>
      <w:r>
        <w:t>Article 13 – Status and withdrawal of reservations</w:t>
      </w:r>
    </w:p>
    <w:p>
      <w:r>
        <w:t>1</w:t>
      </w:r>
    </w:p>
    <w:p>
      <w:r>
        <w:t>A Party that has made a reservation in accordance with Article 12 above shall withdraw such</w:t>
      </w:r>
    </w:p>
    <w:p>
      <w:r>
        <w:t>reservation, in whole or in part, as soon as circumstances so permit. Such withdrawal shall</w:t>
      </w:r>
    </w:p>
    <w:p>
      <w:r>
        <w:t>take effect on the date of receipt of a notification addressed to the Secretary General of the</w:t>
      </w:r>
    </w:p>
    <w:p>
      <w:r>
        <w:t>Council of Europe. If the notification states that the withdrawal of a reservation is to take effect</w:t>
      </w:r>
    </w:p>
    <w:p>
      <w:r>
        <w:t>on a date specified therein, and such date is later than the date on which the notification is</w:t>
      </w:r>
    </w:p>
    <w:p>
      <w:r>
        <w:t>received by the Secretary General, the withdrawal shall take effect on such a later date.</w:t>
      </w:r>
    </w:p>
    <w:p>
      <w:r>
        <w:t>2</w:t>
      </w:r>
    </w:p>
    <w:p>
      <w:r>
        <w:t>The Secretary General of the Council of Europe may periodically enquire with Parties that</w:t>
      </w:r>
    </w:p>
    <w:p>
      <w:r>
        <w:t>have made one or more reservations in accordance with Article 12 as to the prospects for</w:t>
      </w:r>
    </w:p>
    <w:p>
      <w:r>
        <w:t>withdrawing such reservation(s).</w:t>
      </w:r>
    </w:p>
    <w:p>
      <w:pPr>
        <w:pStyle w:val="Heading4"/>
      </w:pPr>
      <w:r>
        <w:t>Article 14 – Territorial application</w:t>
      </w:r>
    </w:p>
    <w:p>
      <w:r>
        <w:t>1</w:t>
      </w:r>
    </w:p>
    <w:p>
      <w:r>
        <w:t>Any Party may at the time of signature or when depositing its instrument of ratification,</w:t>
      </w:r>
    </w:p>
    <w:p>
      <w:r>
        <w:t>acceptance, approval or accession, specify the territory or territories to which this Protocol</w:t>
      </w:r>
    </w:p>
    <w:p>
      <w:r>
        <w:t>shall apply.</w:t>
      </w:r>
    </w:p>
    <w:p>
      <w:r>
        <w:t>2</w:t>
      </w:r>
    </w:p>
    <w:p>
      <w:r>
        <w:t>Any Party may, at any later date, by a declaration addressed to the Secretary General of the</w:t>
      </w:r>
    </w:p>
    <w:p>
      <w:r>
        <w:t>Council of Europe, extend the application of this Protocol to any other territory specified in the</w:t>
      </w:r>
    </w:p>
    <w:p>
      <w:r>
        <w:t>declaration. In respect of such territory, the Protocol shall enter into force on the first day of</w:t>
      </w:r>
    </w:p>
    <w:p>
      <w:r>
        <w:t>the month following the expiration of a period of three months after the date of receipt of the</w:t>
      </w:r>
    </w:p>
    <w:p>
      <w:r>
        <w:t>declaration by the Secretary General.</w:t>
      </w:r>
    </w:p>
    <w:p>
      <w:r>
        <w:t>3</w:t>
      </w:r>
    </w:p>
    <w:p>
      <w:r>
        <w:t>Any declaration made under the two preceding paragraphs may, in respect of any territory</w:t>
      </w:r>
    </w:p>
    <w:p>
      <w:r>
        <w:t>specified in such declaration, be withdrawn by a notification addressed to the Secretary</w:t>
      </w:r>
    </w:p>
    <w:p>
      <w:r>
        <w:t>General of the Council of Europe. The withdrawal shall become effective on the first day of</w:t>
      </w:r>
    </w:p>
    <w:p>
      <w:r>
        <w:t>the month following the expiration of a period of three months after the date of receipt of such</w:t>
      </w:r>
    </w:p>
    <w:p>
      <w:r>
        <w:t>notification by the Secretary General.</w:t>
      </w:r>
    </w:p>
    <w:p>
      <w:r>
        <w:t>ETS 189 – Cybercrime (Additional Protocol), 28.I.2003</w:t>
      </w:r>
    </w:p>
    <w:p>
      <w:r>
        <w:t>__________________________________________________________________________________</w:t>
      </w:r>
    </w:p>
    <w:p>
      <w:r>
        <w:t>6</w:t>
      </w:r>
    </w:p>
    <w:p>
      <w:pPr>
        <w:pStyle w:val="Heading4"/>
      </w:pPr>
      <w:r>
        <w:t>Article 15 – Denunciation</w:t>
      </w:r>
    </w:p>
    <w:p>
      <w:r>
        <w:t>1</w:t>
      </w:r>
    </w:p>
    <w:p>
      <w:r>
        <w:t>Any Party may, at any time, denounce this Protocol by means of a notification addressed to</w:t>
      </w:r>
    </w:p>
    <w:p>
      <w:r>
        <w:t>the Secretary General of the Council of Europe.</w:t>
      </w:r>
    </w:p>
    <w:p>
      <w:r>
        <w:t>2</w:t>
      </w:r>
    </w:p>
    <w:p>
      <w:r>
        <w:t>Such denunciation shall become effective on the first day of the month following the expiration</w:t>
      </w:r>
    </w:p>
    <w:p>
      <w:r>
        <w:t>of a period of three months after the date of receipt of the notification by the Secretary</w:t>
      </w:r>
    </w:p>
    <w:p>
      <w:r>
        <w:t>General.</w:t>
      </w:r>
    </w:p>
    <w:p>
      <w:pPr>
        <w:pStyle w:val="Heading4"/>
      </w:pPr>
      <w:r>
        <w:t>Article 16 – Notification</w:t>
      </w:r>
    </w:p>
    <w:p>
      <w:r>
        <w:t>The Secretary General of the Council of Europe shall notify the member States of the Council</w:t>
      </w:r>
    </w:p>
    <w:p>
      <w:r>
        <w:t>of Europe, the non-member States which have participated in the elaboration of this Protocol</w:t>
      </w:r>
    </w:p>
    <w:p>
      <w:r>
        <w:t>as well as any State which has acceded to, or has been invited to accede to, this Protocol of:</w:t>
      </w:r>
    </w:p>
    <w:p>
      <w:r>
        <w:t>a</w:t>
      </w:r>
    </w:p>
    <w:p>
      <w:r>
        <w:t>any signature;</w:t>
      </w:r>
    </w:p>
    <w:p>
      <w:r>
        <w:t>b</w:t>
      </w:r>
    </w:p>
    <w:p>
      <w:r>
        <w:t>the deposit of any instrument of ratification, acceptance, approval or accession;</w:t>
      </w:r>
    </w:p>
    <w:p>
      <w:r>
        <w:t>c</w:t>
      </w:r>
    </w:p>
    <w:p>
      <w:r>
        <w:t>any date of entry into force of this Protocol in accordance with its Articles 9, 10 and 11;</w:t>
      </w:r>
    </w:p>
    <w:p>
      <w:r>
        <w:t>d</w:t>
      </w:r>
    </w:p>
    <w:p>
      <w:r>
        <w:t>any other act, notification or communication relating to this Protocol.</w:t>
      </w:r>
    </w:p>
    <w:p>
      <w:r>
        <w:t>In witness whereof the undersigned, being duly authorised thereto, have signed this Protocol.</w:t>
      </w:r>
    </w:p>
    <w:p>
      <w:r>
        <w:t>Done at Strasbourg, this 28th day of January 2003, in English and in French, both texts being</w:t>
      </w:r>
    </w:p>
    <w:p>
      <w:r>
        <w:t>equally authentic, in a single copy which shall be deposited in the archives of the Council of</w:t>
      </w:r>
    </w:p>
    <w:p>
      <w:r>
        <w:t>Europe. The Secretary General of the Council of Europe shall transmit certified copies to each</w:t>
      </w:r>
    </w:p>
    <w:p>
      <w:r>
        <w:t>member State of the Council of Europe, to the non-member States which have participated in</w:t>
      </w:r>
    </w:p>
    <w:p>
      <w:r>
        <w:t>the elaboration of this Protocol, and to any State invited to accede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