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729"/>
          <w:sz w:val="34"/>
          <w:szCs w:val="34"/>
        </w:rPr>
        <w:t xml:space="preserve">Proposed Changes to the Instructor Study</w:t>
      </w:r>
    </w:p>
    <w:p>
      <w:pPr>
        <w:spacing w:after="220"/>
      </w:pPr>
      <w:r>
        <w:rPr>
          <w:color w:val="6B7385"/>
          <w:sz w:val="19"/>
          <w:szCs w:val="19"/>
        </w:rPr>
        <w:t xml:space="preserve">Guided Self-Directed Learning via LLMs and the Role of the Instructor · IRB-FY2026-340 · Prepared for Dr. Adenuga · July 2026</w:t>
      </w:r>
    </w:p>
    <w:p>
      <w:pPr>
        <w:pStyle w:val="Heading1"/>
        <w:spacing w:after="100" w:before="260"/>
      </w:pPr>
      <w:r>
        <w:rPr>
          <w:b/>
          <w:bCs/>
        </w:rPr>
        <w:t xml:space="preserve">Why change anything</w:t>
      </w:r>
    </w:p>
    <w:p>
      <w:pPr>
        <w:spacing w:after="100" w:line="264"/>
      </w:pPr>
      <w:r>
        <w:t xml:space="preserve">I evaluated our current protocol against the CHI review bar. As designed — a dashboard walkthrough with simulated data plus interview — reviewers would likely see it as a usability study with predictable findings (instructors describe what they like and want). Two additions convert it into a research contribution, and both fit inside our existing session format and exempt category. Everything else in the submitted protocol stays as is.</w:t>
      </w:r>
    </w:p>
    <w:p>
      <w:pPr>
        <w:pStyle w:val="Heading1"/>
        <w:spacing w:after="100" w:before="260"/>
      </w:pPr>
      <w:r>
        <w:rPr>
          <w:b/>
          <w:bCs/>
        </w:rPr>
        <w:t xml:space="preserve">Change 1 — Add an authoring task (25 min)</w:t>
      </w:r>
    </w:p>
    <w:p>
      <w:pPr>
        <w:spacing w:after="100" w:line="264"/>
      </w:pPr>
      <w:r>
        <w:t xml:space="preserve">Each instructor writes real </w:t>
      </w:r>
      <w:r>
        <w:rPr>
          <w:b/>
          <w:bCs/>
        </w:rPr>
        <w:t xml:space="preserve">AI teaching instructions</w:t>
      </w:r>
      <w:r>
        <w:t xml:space="preserve"> and a quiz pattern for a course they actually teach, then switches to the student view and tests the tutor — including deliberately trying to make it break their own rules — then revises.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Why: </w:t>
      </w:r>
      <w:r>
        <w:t xml:space="preserve">this is the one capability of our system that no prior teacher-dashboard work has — instructors authoring the AI's pedagogy, not just monitoring it. It becomes the paper's core contribution (new RQ-A: how do instructors express pedagogical intent as natural-language constraints, and how do they verify the tutor honors them?).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Cost: </w:t>
      </w:r>
      <w:r>
        <w:t xml:space="preserve">~25 minutes of session time; a blank course shell and a sandbox student account in the platform.</w:t>
      </w:r>
    </w:p>
    <w:p>
      <w:pPr>
        <w:pStyle w:val="Heading1"/>
        <w:spacing w:after="100" w:before="260"/>
      </w:pPr>
      <w:r>
        <w:rPr>
          <w:b/>
          <w:bCs/>
        </w:rPr>
        <w:t xml:space="preserve">Change 2 — Add three planted probes</w:t>
      </w:r>
    </w:p>
    <w:p>
      <w:pPr>
        <w:spacing w:after="100" w:line="264"/>
      </w:pPr>
      <w:r>
        <w:t xml:space="preserve">We seed the demo class with three small, realistic errors and observe — without announcing them — whether instructors notice, verify, or act on them: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 student flagged Critical whose actual evidence (quiz scores above 85%, topics complete) contradicts the flag.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One Insights Assistant answer that names the wrong weakest topic (checkable on the dashboard in two clicks).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One daily-briefing claim that overgeneralizes (“class is broadly disengaging” when it is 3 students of 20).</w:t>
      </w:r>
    </w:p>
    <w:p>
      <w:pPr>
        <w:spacing w:after="100" w:line="264"/>
      </w:pPr>
      <w:r>
        <w:rPr>
          <w:b/>
          <w:bCs/>
        </w:rPr>
        <w:t xml:space="preserve">Why: </w:t>
      </w:r>
      <w:r>
        <w:t xml:space="preserve">asked directly, everyone says they would double-check the AI. Probes measure whether they actually do — converting trust from self-report into observed behavior (new RQ-B). Each participant is fully debriefed about all three probes at the end of the session. This is standard practice in trust-calibration research.</w:t>
      </w:r>
    </w:p>
    <w:p>
      <w:pPr>
        <w:pStyle w:val="Heading1"/>
        <w:spacing w:after="100" w:before="260"/>
      </w:pPr>
      <w:r>
        <w:rPr>
          <w:b/>
          <w:bCs/>
        </w:rPr>
        <w:t xml:space="preserve">Reframing for the paper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Old RQ1 (EitL reshapes design requirements) is dropped as a research question — it becomes system motivation. EitL itself moves from a named framework to a lens in the discussion; the cross-domain table becomes motivation, not a claim.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New RQ set: </w:t>
      </w:r>
      <w:r>
        <w:rPr>
          <w:b/>
          <w:bCs/>
        </w:rPr>
        <w:t xml:space="preserve">RQ-A</w:t>
      </w:r>
      <w:r>
        <w:t xml:space="preserve"> constraint authoring and verification (from Change 1); </w:t>
      </w:r>
      <w:r>
        <w:rPr>
          <w:b/>
          <w:bCs/>
        </w:rPr>
        <w:t xml:space="preserve">RQ-B</w:t>
      </w:r>
      <w:r>
        <w:t xml:space="preserve"> trust calibration in AI analytics (from Change 2); </w:t>
      </w:r>
      <w:r>
        <w:rPr>
          <w:b/>
          <w:bCs/>
        </w:rPr>
        <w:t xml:space="preserve">RQ-C</w:t>
      </w:r>
      <w:r>
        <w:t xml:space="preserve"> tensions between monitoring (session replay, risk tiers) and the instructor-student relationship — probed explicitly in tasks and interview.</w:t>
      </w:r>
    </w:p>
    <w:p>
      <w:pPr>
        <w:pStyle w:val="Heading1"/>
        <w:spacing w:after="100" w:before="260"/>
      </w:pPr>
      <w:r>
        <w:rPr>
          <w:b/>
          <w:bCs/>
        </w:rPr>
        <w:t xml:space="preserve">What this means for the IRB</w:t>
      </w:r>
    </w:p>
    <w:p>
      <w:pPr>
        <w:spacing w:after="100" w:line="264"/>
      </w:pPr>
      <w:r>
        <w:t xml:space="preserve">Our submission is still under review, and the study dates (June 22 – July 31) need updating regardless — so these edits fold into the same revision, not a separate amendment cycle. Three small updates: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192"/>
      </w:tblGrid>
      <w:tr>
        <w:trPr>
          <w:tblHeader/>
        </w:trPr>
        <w:tc>
          <w:tcPr>
            <w:tcW w:type="dxa" w:w="3168"/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6192"/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sentence added to the consent form</w:t>
            </w:r>
          </w:p>
        </w:tc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probes are “incomplete disclosure.” Our exempt category (XM3) explicitly permits this when participants prospectively agree — the consent adds: “some aspects of the system's behavior will not be fully described until after the session.”</w:t>
            </w:r>
          </w:p>
        </w:tc>
      </w:tr>
      <w:tr>
        <w:trPr>
          <w:tblHeader w:val="false"/>
        </w:trPr>
        <w:tc>
          <w:tcPr>
            <w:tcW w:type="dxa" w:w="3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Scripted debrief added to the protocol</w:t>
            </w:r>
          </w:p>
        </w:tc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three probes are revealed at session end, with a post-debrief right to withdraw data.</w:t>
            </w:r>
          </w:p>
        </w:tc>
      </w:tr>
      <w:tr>
        <w:trPr>
          <w:tblHeader w:val="false"/>
        </w:trPr>
        <w:tc>
          <w:tcPr>
            <w:tcW w:type="dxa" w:w="31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 sentences in the procedures + updated attachments</w:t>
            </w:r>
          </w:p>
        </w:tc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Describes the authoring task (new activity and data type: instructor-authored teaching artifacts, with a keep-or-delete choice at session end); replaces the interview script and survey attachments with the revised versions.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260"/>
      </w:pPr>
      <w:r>
        <w:rPr>
          <w:b/>
          <w:bCs/>
        </w:rPr>
        <w:t xml:space="preserve">Feasibility</w:t>
      </w:r>
    </w:p>
    <w:p>
      <w:pPr>
        <w:spacing w:after="100" w:line="264"/>
      </w:pPr>
      <w:r>
        <w:t xml:space="preserve">If the revised submission clears by early August: sessions with Kean faculty (plus a few external instructors over Teams) run through August, analysis is rolling (same-day transcription, codebook from session 3), and we submit to </w:t>
      </w:r>
      <w:r>
        <w:rPr>
          <w:b/>
          <w:bCs/>
        </w:rPr>
        <w:t xml:space="preserve">CHI 2027 in early September</w:t>
      </w:r>
      <w:r>
        <w:t xml:space="preserve">. </w:t>
      </w:r>
      <w:r>
        <w:rPr>
          <w:b/>
          <w:bCs/>
        </w:rPr>
        <w:t xml:space="preserve">LAK 2027 (~October)</w:t>
      </w:r>
      <w:r>
        <w:t xml:space="preserve"> is the fallback with the full dataset. Go/no-go decision on CHI: August 14. The revised session runs 90 minutes; full task scripts, interview guide, and survey are drafted and ready to attach.</w:t>
      </w:r>
    </w:p>
    <w:sectPr>
      <w:pgSz w:w="12240" w:h="15840" w:orient="portrait"/>
      <w:pgMar w:top="1000" w:right="126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Calibri" w:cs="Calibri" w:eastAsia="Calibri" w:hAnsi="Calibri"/>
      <w:b/>
      <w:bCs/>
      <w:color w:val="0F172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2026-07-26T02:29:48.155Z</dcterms:created>
  <dcterms:modified xsi:type="dcterms:W3CDTF">2026-07-26T02:29:48.156Z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