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100"/>
        <w:jc w:val="center"/>
      </w:pPr>
      <w:r>
        <w:rPr>
          <w:b/>
          <w:bCs/>
          <w:color w:val="0F1729"/>
          <w:sz w:val="54"/>
          <w:szCs w:val="54"/>
        </w:rPr>
        <w:t xml:space="preserve">Study Plan</w:t>
      </w:r>
    </w:p>
    <w:p>
      <w:pPr>
        <w:spacing w:after="100"/>
        <w:jc w:val="center"/>
      </w:pPr>
      <w:r>
        <w:rPr>
          <w:color w:val="6B7385"/>
          <w:sz w:val="29"/>
          <w:szCs w:val="29"/>
        </w:rPr>
        <w:t xml:space="preserve">Instructor Study of Study Assist Teach Mode</w:t>
      </w:r>
    </w:p>
    <w:p>
      <w:pPr>
        <w:spacing w:after="420"/>
        <w:jc w:val="center"/>
      </w:pPr>
      <w:r>
        <w:rPr>
          <w:color w:val="6B7385"/>
          <w:sz w:val="23"/>
          <w:szCs w:val="23"/>
        </w:rPr>
        <w:t xml:space="preserve">Version 2.1, verified against the deployed system and codebase</w:t>
      </w:r>
    </w:p>
    <w:p>
      <w:pPr>
        <w:spacing w:after="70"/>
        <w:jc w:val="center"/>
      </w:pPr>
      <w:r>
        <w:rPr>
          <w:i/>
          <w:iCs/>
          <w:color w:val="6B7385"/>
          <w:sz w:val="22"/>
          <w:szCs w:val="22"/>
        </w:rPr>
        <w:t xml:space="preserve">Guided Self-Directed Learning via LLMs and the Role of the Instructor</w:t>
      </w:r>
    </w:p>
    <w:p>
      <w:pPr>
        <w:spacing w:after="70"/>
        <w:jc w:val="center"/>
      </w:pPr>
      <w:r>
        <w:rPr>
          <w:color w:val="6B7385"/>
          <w:sz w:val="22"/>
          <w:szCs w:val="22"/>
        </w:rPr>
        <w:t xml:space="preserve">PI: Dr. Iyadunni (Dunni) Adenuga · Kean University · IRB-FY2026-340 (under review)</w:t>
      </w:r>
    </w:p>
    <w:p>
      <w:pPr>
        <w:spacing w:after="70"/>
        <w:jc w:val="center"/>
      </w:pPr>
      <w:r>
        <w:rPr>
          <w:color w:val="6B7385"/>
          <w:sz w:val="22"/>
          <w:szCs w:val="22"/>
        </w:rPr>
        <w:t xml:space="preserve">CHI 2027 primary target · LAK 2027 fallback · July 29, 2026</w:t>
      </w:r>
    </w:p>
    <w:p>
      <w:pPr>
        <w:spacing w:before="200"/>
        <w:jc w:val="center"/>
      </w:pPr>
      <w:r>
        <w:rPr>
          <w:i/>
          <w:iCs/>
          <w:color w:val="6B7385"/>
          <w:sz w:val="20"/>
          <w:szCs w:val="20"/>
        </w:rPr>
        <w:t xml:space="preserve">Every task, probe, and question in this version was cross-checked against the live deployment (July 29) and the codebase (file-and-line references in Appendix A). Three probe designs were corrected from the July 22 draft.</w:t>
      </w:r>
    </w:p>
    <w:p>
      <w:r>
        <w:br w:type="page"/>
      </w:r>
    </w:p>
    <w:p>
      <w:pPr>
        <w:pStyle w:val="Heading1"/>
        <w:spacing w:after="140" w:before="320"/>
      </w:pPr>
      <w:r>
        <w:rPr>
          <w:b/>
          <w:bCs/>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rPr>
        <w:t xml:space="preserve">1. Research Questions</w:t>
      </w:r>
    </w:p>
    <w:p>
      <w:pPr>
        <w:spacing w:after="110" w:line="268"/>
      </w:pPr>
      <w:r>
        <w:rPr>
          <w:b/>
          <w:bCs/>
        </w:rPr>
        <w:t xml:space="preserve">RQ-A. </w:t>
      </w:r>
      <w:r>
        <w:t xml:space="preserve">How do instructors express pedagogical intent as natural-language constraints on an LLM tutor, and how do they verify the tutor honors those constraints?</w:t>
      </w:r>
    </w:p>
    <w:p>
      <w:pPr>
        <w:spacing w:after="110" w:line="268"/>
      </w:pPr>
      <w:r>
        <w:rPr>
          <w:b/>
          <w:bCs/>
        </w:rPr>
        <w:t xml:space="preserve">RQ-B. </w:t>
      </w:r>
      <w:r>
        <w:t xml:space="preserve">How do instructors calibrate trust in LLM-generated analytics (risk tiers, Insights Assistant answers, daily briefings)? What verification strategies do they use, and where do they over- or under-rely?</w:t>
      </w:r>
    </w:p>
    <w:p>
      <w:pPr>
        <w:spacing w:after="110" w:line="268"/>
      </w:pPr>
      <w:r>
        <w:rPr>
          <w:b/>
          <w:bCs/>
        </w:rPr>
        <w:t xml:space="preserve">RQ-C. </w:t>
      </w:r>
      <w:r>
        <w:t xml:space="preserve">What tensions do instructors perceive between monitoring affordances (session replay, watchlists, risk tiers) and their pedagogical relationship with students?</w:t>
      </w:r>
    </w:p>
    <w:p>
      <w:pPr>
        <w:spacing w:after="110" w:line="268"/>
      </w:pPr>
      <w:r>
        <w:t xml:space="preserve">Method: a single 90-minute session, combining think-aloud on the live deployed system (two task blocks), a semi-structured interview, and a short survey. N = 10–14 (Kean CS core plus 4–6 external intro-programming instructors, remote). Reflexive thematic analysis with disclosed, bounded LLM assistance. The Expert-in-the-Loop concept appears only as a sensitizing lens in the discussion.</w:t>
      </w:r>
    </w:p>
    <w:p>
      <w:pPr>
        <w:pStyle w:val="Heading1"/>
        <w:spacing w:after="140" w:before="320"/>
      </w:pPr>
      <w:r>
        <w:rPr>
          <w:b/>
          <w:bCs/>
        </w:rPr>
        <w:t xml:space="preserve">2. Session Structure (90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12"/>
        <w:gridCol w:w="6264"/>
        <w:gridCol w:w="1584"/>
      </w:tblGrid>
      <w:tr>
        <w:trPr>
          <w:tblHeader/>
        </w:trPr>
        <w:tc>
          <w:tcPr>
            <w:tcW w:type="dxa" w:w="1512"/>
            <w:shd w:fill="F2F4F7" w:val="clear"/>
            <w:tcMar>
              <w:top w:type="dxa" w:w="55"/>
              <w:left w:type="dxa" w:w="95"/>
              <w:bottom w:type="dxa" w:w="55"/>
              <w:right w:type="dxa" w:w="95"/>
            </w:tcMar>
          </w:tcPr>
          <w:p>
            <w:pPr>
              <w:spacing w:after="0" w:line="240"/>
            </w:pPr>
            <w:r>
              <w:rPr>
                <w:b/>
                <w:bCs/>
                <w:sz w:val="18"/>
                <w:szCs w:val="18"/>
              </w:rPr>
              <w:t xml:space="preserve">Time</w:t>
            </w:r>
          </w:p>
        </w:tc>
        <w:tc>
          <w:tcPr>
            <w:tcW w:type="dxa" w:w="6264"/>
            <w:shd w:fill="F2F4F7" w:val="clear"/>
            <w:tcMar>
              <w:top w:type="dxa" w:w="55"/>
              <w:left w:type="dxa" w:w="95"/>
              <w:bottom w:type="dxa" w:w="55"/>
              <w:right w:type="dxa" w:w="95"/>
            </w:tcMar>
          </w:tcPr>
          <w:p>
            <w:pPr>
              <w:spacing w:after="0" w:line="240"/>
            </w:pPr>
            <w:r>
              <w:rPr>
                <w:b/>
                <w:bCs/>
                <w:sz w:val="18"/>
                <w:szCs w:val="18"/>
              </w:rPr>
              <w:t xml:space="preserve">Block</w:t>
            </w:r>
          </w:p>
        </w:tc>
        <w:tc>
          <w:tcPr>
            <w:tcW w:type="dxa" w:w="1584"/>
            <w:shd w:fill="F2F4F7" w:val="clear"/>
            <w:tcMar>
              <w:top w:type="dxa" w:w="55"/>
              <w:left w:type="dxa" w:w="95"/>
              <w:bottom w:type="dxa" w:w="55"/>
              <w:right w:type="dxa" w:w="95"/>
            </w:tcMar>
          </w:tcPr>
          <w:p>
            <w:pPr>
              <w:spacing w:after="0" w:line="240"/>
            </w:pPr>
            <w:r>
              <w:rPr>
                <w:b/>
                <w:bCs/>
                <w:sz w:val="18"/>
                <w:szCs w:val="18"/>
              </w:rPr>
              <w:t xml:space="preserve">RQ</w:t>
            </w:r>
          </w:p>
        </w:tc>
      </w:tr>
      <w:tr>
        <w:trPr>
          <w:tblHeader w:val="false"/>
        </w:trPr>
        <w:tc>
          <w:tcPr>
            <w:tcW w:type="dxa" w:w="1512"/>
            <w:tcMar>
              <w:top w:type="dxa" w:w="55"/>
              <w:left w:type="dxa" w:w="95"/>
              <w:bottom w:type="dxa" w:w="55"/>
              <w:right w:type="dxa" w:w="95"/>
            </w:tcMar>
          </w:tcPr>
          <w:p>
            <w:pPr>
              <w:spacing w:after="0" w:line="240"/>
            </w:pPr>
            <w:r>
              <w:rPr>
                <w:b w:val="false"/>
                <w:bCs w:val="false"/>
                <w:sz w:val="18"/>
                <w:szCs w:val="18"/>
              </w:rPr>
              <w:t xml:space="preserve">0:00–0:05</w:t>
            </w:r>
          </w:p>
        </w:tc>
        <w:tc>
          <w:tcPr>
            <w:tcW w:type="dxa" w:w="6264"/>
            <w:tcMar>
              <w:top w:type="dxa" w:w="55"/>
              <w:left w:type="dxa" w:w="95"/>
              <w:bottom w:type="dxa" w:w="55"/>
              <w:right w:type="dxa" w:w="95"/>
            </w:tcMar>
          </w:tcPr>
          <w:p>
            <w:pPr>
              <w:spacing w:after="0" w:line="240"/>
            </w:pPr>
            <w:r>
              <w:rPr>
                <w:b w:val="false"/>
                <w:bCs w:val="false"/>
                <w:sz w:val="18"/>
                <w:szCs w:val="18"/>
              </w:rPr>
              <w:t xml:space="preserve">Intro, consent, recording, screen-share check</w:t>
            </w:r>
          </w:p>
        </w:tc>
        <w:tc>
          <w:tcPr>
            <w:tcW w:type="dxa" w:w="1584"/>
            <w:tcMar>
              <w:top w:type="dxa" w:w="55"/>
              <w:left w:type="dxa" w:w="95"/>
              <w:bottom w:type="dxa" w:w="55"/>
              <w:right w:type="dxa" w:w="95"/>
            </w:tcMar>
          </w:tcPr>
          <w:p>
            <w:pPr>
              <w:spacing w:after="0" w:line="240"/>
            </w:pPr>
            <w:r>
              <w:rPr>
                <w:b w:val="false"/>
                <w:bCs w:val="false"/>
                <w:sz w:val="18"/>
                <w:szCs w:val="18"/>
              </w:rPr>
              <w:t xml:space="preserve">n/a</w:t>
            </w:r>
          </w:p>
        </w:tc>
      </w:tr>
      <w:tr>
        <w:trPr>
          <w:tblHeader w:val="false"/>
        </w:trPr>
        <w:tc>
          <w:tcPr>
            <w:tcW w:type="dxa" w:w="1512"/>
            <w:tcMar>
              <w:top w:type="dxa" w:w="55"/>
              <w:left w:type="dxa" w:w="95"/>
              <w:bottom w:type="dxa" w:w="55"/>
              <w:right w:type="dxa" w:w="95"/>
            </w:tcMar>
          </w:tcPr>
          <w:p>
            <w:pPr>
              <w:spacing w:after="0" w:line="240"/>
            </w:pPr>
            <w:r>
              <w:rPr>
                <w:b w:val="false"/>
                <w:bCs w:val="false"/>
                <w:sz w:val="18"/>
                <w:szCs w:val="18"/>
              </w:rPr>
              <w:t xml:space="preserve">0:05–0:12</w:t>
            </w:r>
          </w:p>
        </w:tc>
        <w:tc>
          <w:tcPr>
            <w:tcW w:type="dxa" w:w="6264"/>
            <w:tcMar>
              <w:top w:type="dxa" w:w="55"/>
              <w:left w:type="dxa" w:w="95"/>
              <w:bottom w:type="dxa" w:w="55"/>
              <w:right w:type="dxa" w:w="95"/>
            </w:tcMar>
          </w:tcPr>
          <w:p>
            <w:pPr>
              <w:spacing w:after="0" w:line="240"/>
            </w:pPr>
            <w:r>
              <w:rPr>
                <w:b w:val="false"/>
                <w:bCs w:val="false"/>
                <w:sz w:val="18"/>
                <w:szCs w:val="18"/>
              </w:rPr>
              <w:t xml:space="preserve">Background mini-interview (teaching load, intro course taught, prior AI-tool use)</w:t>
            </w:r>
          </w:p>
        </w:tc>
        <w:tc>
          <w:tcPr>
            <w:tcW w:type="dxa" w:w="1584"/>
            <w:tcMar>
              <w:top w:type="dxa" w:w="55"/>
              <w:left w:type="dxa" w:w="95"/>
              <w:bottom w:type="dxa" w:w="55"/>
              <w:right w:type="dxa" w:w="95"/>
            </w:tcMar>
          </w:tcPr>
          <w:p>
            <w:pPr>
              <w:spacing w:after="0" w:line="240"/>
            </w:pPr>
            <w:r>
              <w:rPr>
                <w:b w:val="false"/>
                <w:bCs w:val="false"/>
                <w:sz w:val="18"/>
                <w:szCs w:val="18"/>
              </w:rPr>
              <w:t xml:space="preserve">context</w:t>
            </w:r>
          </w:p>
        </w:tc>
      </w:tr>
      <w:tr>
        <w:trPr>
          <w:tblHeader w:val="false"/>
        </w:trPr>
        <w:tc>
          <w:tcPr>
            <w:tcW w:type="dxa" w:w="1512"/>
            <w:tcMar>
              <w:top w:type="dxa" w:w="55"/>
              <w:left w:type="dxa" w:w="95"/>
              <w:bottom w:type="dxa" w:w="55"/>
              <w:right w:type="dxa" w:w="95"/>
            </w:tcMar>
          </w:tcPr>
          <w:p>
            <w:pPr>
              <w:spacing w:after="0" w:line="240"/>
            </w:pPr>
            <w:r>
              <w:rPr>
                <w:b w:val="false"/>
                <w:bCs w:val="false"/>
                <w:sz w:val="18"/>
                <w:szCs w:val="18"/>
              </w:rPr>
              <w:t xml:space="preserve">0:12–0:38</w:t>
            </w:r>
          </w:p>
        </w:tc>
        <w:tc>
          <w:tcPr>
            <w:tcW w:type="dxa" w:w="6264"/>
            <w:tcMar>
              <w:top w:type="dxa" w:w="55"/>
              <w:left w:type="dxa" w:w="95"/>
              <w:bottom w:type="dxa" w:w="55"/>
              <w:right w:type="dxa" w:w="95"/>
            </w:tcMar>
          </w:tcPr>
          <w:p>
            <w:pPr>
              <w:spacing w:after="0" w:line="240"/>
            </w:pPr>
            <w:r>
              <w:rPr>
                <w:b w:val="false"/>
                <w:bCs w:val="false"/>
                <w:sz w:val="18"/>
                <w:szCs w:val="18"/>
              </w:rPr>
              <w:t xml:space="preserve">Part A: authoring-and-verification loop on a pre-created sandbox course (A1–A4)</w:t>
            </w:r>
          </w:p>
        </w:tc>
        <w:tc>
          <w:tcPr>
            <w:tcW w:type="dxa" w:w="1584"/>
            <w:tcMar>
              <w:top w:type="dxa" w:w="55"/>
              <w:left w:type="dxa" w:w="95"/>
              <w:bottom w:type="dxa" w:w="55"/>
              <w:right w:type="dxa" w:w="95"/>
            </w:tcMar>
          </w:tcPr>
          <w:p>
            <w:pPr>
              <w:spacing w:after="0" w:line="240"/>
            </w:pPr>
            <w:r>
              <w:rPr>
                <w:b w:val="false"/>
                <w:bCs w:val="false"/>
                <w:sz w:val="18"/>
                <w:szCs w:val="18"/>
              </w:rPr>
              <w:t xml:space="preserve">RQ-A</w:t>
            </w:r>
          </w:p>
        </w:tc>
      </w:tr>
      <w:tr>
        <w:trPr>
          <w:tblHeader w:val="false"/>
        </w:trPr>
        <w:tc>
          <w:tcPr>
            <w:tcW w:type="dxa" w:w="1512"/>
            <w:tcMar>
              <w:top w:type="dxa" w:w="55"/>
              <w:left w:type="dxa" w:w="95"/>
              <w:bottom w:type="dxa" w:w="55"/>
              <w:right w:type="dxa" w:w="95"/>
            </w:tcMar>
          </w:tcPr>
          <w:p>
            <w:pPr>
              <w:spacing w:after="0" w:line="240"/>
            </w:pPr>
            <w:r>
              <w:rPr>
                <w:b w:val="false"/>
                <w:bCs w:val="false"/>
                <w:sz w:val="18"/>
                <w:szCs w:val="18"/>
              </w:rPr>
              <w:t xml:space="preserve">0:38–1:07</w:t>
            </w:r>
          </w:p>
        </w:tc>
        <w:tc>
          <w:tcPr>
            <w:tcW w:type="dxa" w:w="6264"/>
            <w:tcMar>
              <w:top w:type="dxa" w:w="55"/>
              <w:left w:type="dxa" w:w="95"/>
              <w:bottom w:type="dxa" w:w="55"/>
              <w:right w:type="dxa" w:w="95"/>
            </w:tcMar>
          </w:tcPr>
          <w:p>
            <w:pPr>
              <w:spacing w:after="0" w:line="240"/>
            </w:pPr>
            <w:r>
              <w:rPr>
                <w:b w:val="false"/>
                <w:bCs w:val="false"/>
                <w:sz w:val="18"/>
                <w:szCs w:val="18"/>
              </w:rPr>
              <w:t xml:space="preserve">Part B: monitoring scenario, Dashboard + week-10 demo course (B1–B5; probes in B1–B3)</w:t>
            </w:r>
          </w:p>
        </w:tc>
        <w:tc>
          <w:tcPr>
            <w:tcW w:type="dxa" w:w="1584"/>
            <w:tcMar>
              <w:top w:type="dxa" w:w="55"/>
              <w:left w:type="dxa" w:w="95"/>
              <w:bottom w:type="dxa" w:w="55"/>
              <w:right w:type="dxa" w:w="95"/>
            </w:tcMar>
          </w:tcPr>
          <w:p>
            <w:pPr>
              <w:spacing w:after="0" w:line="240"/>
            </w:pPr>
            <w:r>
              <w:rPr>
                <w:b w:val="false"/>
                <w:bCs w:val="false"/>
                <w:sz w:val="18"/>
                <w:szCs w:val="18"/>
              </w:rPr>
              <w:t xml:space="preserve">RQ-B, RQ-C</w:t>
            </w:r>
          </w:p>
        </w:tc>
      </w:tr>
      <w:tr>
        <w:trPr>
          <w:tblHeader w:val="false"/>
        </w:trPr>
        <w:tc>
          <w:tcPr>
            <w:tcW w:type="dxa" w:w="1512"/>
            <w:tcMar>
              <w:top w:type="dxa" w:w="55"/>
              <w:left w:type="dxa" w:w="95"/>
              <w:bottom w:type="dxa" w:w="55"/>
              <w:right w:type="dxa" w:w="95"/>
            </w:tcMar>
          </w:tcPr>
          <w:p>
            <w:pPr>
              <w:spacing w:after="0" w:line="240"/>
            </w:pPr>
            <w:r>
              <w:rPr>
                <w:b w:val="false"/>
                <w:bCs w:val="false"/>
                <w:sz w:val="18"/>
                <w:szCs w:val="18"/>
              </w:rPr>
              <w:t xml:space="preserve">1:07–1:19</w:t>
            </w:r>
          </w:p>
        </w:tc>
        <w:tc>
          <w:tcPr>
            <w:tcW w:type="dxa" w:w="6264"/>
            <w:tcMar>
              <w:top w:type="dxa" w:w="55"/>
              <w:left w:type="dxa" w:w="95"/>
              <w:bottom w:type="dxa" w:w="55"/>
              <w:right w:type="dxa" w:w="95"/>
            </w:tcMar>
          </w:tcPr>
          <w:p>
            <w:pPr>
              <w:spacing w:after="0" w:line="240"/>
            </w:pPr>
            <w:r>
              <w:rPr>
                <w:b w:val="false"/>
                <w:bCs w:val="false"/>
                <w:sz w:val="18"/>
                <w:szCs w:val="18"/>
              </w:rPr>
              <w:t xml:space="preserve">Part C: post-task interview (Q1–Q10)</w:t>
            </w:r>
          </w:p>
        </w:tc>
        <w:tc>
          <w:tcPr>
            <w:tcW w:type="dxa" w:w="1584"/>
            <w:tcMar>
              <w:top w:type="dxa" w:w="55"/>
              <w:left w:type="dxa" w:w="95"/>
              <w:bottom w:type="dxa" w:w="55"/>
              <w:right w:type="dxa" w:w="95"/>
            </w:tcMar>
          </w:tcPr>
          <w:p>
            <w:pPr>
              <w:spacing w:after="0" w:line="240"/>
            </w:pPr>
            <w:r>
              <w:rPr>
                <w:b w:val="false"/>
                <w:bCs w:val="false"/>
                <w:sz w:val="18"/>
                <w:szCs w:val="18"/>
              </w:rPr>
              <w:t xml:space="preserve">all</w:t>
            </w:r>
          </w:p>
        </w:tc>
      </w:tr>
      <w:tr>
        <w:trPr>
          <w:tblHeader w:val="false"/>
        </w:trPr>
        <w:tc>
          <w:tcPr>
            <w:tcW w:type="dxa" w:w="1512"/>
            <w:tcMar>
              <w:top w:type="dxa" w:w="55"/>
              <w:left w:type="dxa" w:w="95"/>
              <w:bottom w:type="dxa" w:w="55"/>
              <w:right w:type="dxa" w:w="95"/>
            </w:tcMar>
          </w:tcPr>
          <w:p>
            <w:pPr>
              <w:spacing w:after="0" w:line="240"/>
            </w:pPr>
            <w:r>
              <w:rPr>
                <w:b w:val="false"/>
                <w:bCs w:val="false"/>
                <w:sz w:val="18"/>
                <w:szCs w:val="18"/>
              </w:rPr>
              <w:t xml:space="preserve">1:19–1:25</w:t>
            </w:r>
          </w:p>
        </w:tc>
        <w:tc>
          <w:tcPr>
            <w:tcW w:type="dxa" w:w="6264"/>
            <w:tcMar>
              <w:top w:type="dxa" w:w="55"/>
              <w:left w:type="dxa" w:w="95"/>
              <w:bottom w:type="dxa" w:w="55"/>
              <w:right w:type="dxa" w:w="95"/>
            </w:tcMar>
          </w:tcPr>
          <w:p>
            <w:pPr>
              <w:spacing w:after="0" w:line="240"/>
            </w:pPr>
            <w:r>
              <w:rPr>
                <w:b w:val="false"/>
                <w:bCs w:val="false"/>
                <w:sz w:val="18"/>
                <w:szCs w:val="18"/>
              </w:rPr>
              <w:t xml:space="preserve">Survey (SUS-10, custom items, open text)</w:t>
            </w:r>
          </w:p>
        </w:tc>
        <w:tc>
          <w:tcPr>
            <w:tcW w:type="dxa" w:w="1584"/>
            <w:tcMar>
              <w:top w:type="dxa" w:w="55"/>
              <w:left w:type="dxa" w:w="95"/>
              <w:bottom w:type="dxa" w:w="55"/>
              <w:right w:type="dxa" w:w="95"/>
            </w:tcMar>
          </w:tcPr>
          <w:p>
            <w:pPr>
              <w:spacing w:after="0" w:line="240"/>
            </w:pPr>
            <w:r>
              <w:rPr>
                <w:b w:val="false"/>
                <w:bCs w:val="false"/>
                <w:sz w:val="18"/>
                <w:szCs w:val="18"/>
              </w:rPr>
              <w:t xml:space="preserve">all</w:t>
            </w:r>
          </w:p>
        </w:tc>
      </w:tr>
      <w:tr>
        <w:trPr>
          <w:tblHeader w:val="false"/>
        </w:trPr>
        <w:tc>
          <w:tcPr>
            <w:tcW w:type="dxa" w:w="1512"/>
            <w:tcMar>
              <w:top w:type="dxa" w:w="55"/>
              <w:left w:type="dxa" w:w="95"/>
              <w:bottom w:type="dxa" w:w="55"/>
              <w:right w:type="dxa" w:w="95"/>
            </w:tcMar>
          </w:tcPr>
          <w:p>
            <w:pPr>
              <w:spacing w:after="0" w:line="240"/>
            </w:pPr>
            <w:r>
              <w:rPr>
                <w:b w:val="false"/>
                <w:bCs w:val="false"/>
                <w:sz w:val="18"/>
                <w:szCs w:val="18"/>
              </w:rPr>
              <w:t xml:space="preserve">1:25–1:30</w:t>
            </w:r>
          </w:p>
        </w:tc>
        <w:tc>
          <w:tcPr>
            <w:tcW w:type="dxa" w:w="6264"/>
            <w:tcMar>
              <w:top w:type="dxa" w:w="55"/>
              <w:left w:type="dxa" w:w="95"/>
              <w:bottom w:type="dxa" w:w="55"/>
              <w:right w:type="dxa" w:w="95"/>
            </w:tcMar>
          </w:tcPr>
          <w:p>
            <w:pPr>
              <w:spacing w:after="0" w:line="240"/>
            </w:pPr>
            <w:r>
              <w:rPr>
                <w:b w:val="false"/>
                <w:bCs w:val="false"/>
                <w:sz w:val="18"/>
                <w:szCs w:val="18"/>
              </w:rPr>
              <w:t xml:space="preserve">Debrief: probes disclosed; Q11–Q12; keep-or-delete decision on authored content</w:t>
            </w:r>
          </w:p>
        </w:tc>
        <w:tc>
          <w:tcPr>
            <w:tcW w:type="dxa" w:w="1584"/>
            <w:tcMar>
              <w:top w:type="dxa" w:w="55"/>
              <w:left w:type="dxa" w:w="95"/>
              <w:bottom w:type="dxa" w:w="55"/>
              <w:right w:type="dxa" w:w="95"/>
            </w:tcMar>
          </w:tcPr>
          <w:p>
            <w:pPr>
              <w:spacing w:after="0" w:line="240"/>
            </w:pPr>
            <w:r>
              <w:rPr>
                <w:b w:val="false"/>
                <w:bCs w:val="false"/>
                <w:sz w:val="18"/>
                <w:szCs w:val="18"/>
              </w:rPr>
              <w:t xml:space="preserve">RQ-B</w:t>
            </w:r>
          </w:p>
        </w:tc>
      </w:tr>
    </w:tbl>
    <w:p>
      <w:pPr>
        <w:spacing w:after="110"/>
      </w:pPr>
    </w:p>
    <w:p>
      <w:pPr>
        <w:spacing w:after="110" w:line="268"/>
      </w:pPr>
      <w:r>
        <w:rPr>
          <w:i/>
          <w:iCs/>
        </w:rPr>
        <w:t xml:space="preserve">B5 is droppable if the session runs past 1:05. The probes live in B1–B3, so coverage survives the cut. The debrief is protected time.</w:t>
      </w:r>
    </w:p>
    <w:p>
      <w:pPr>
        <w:spacing w:after="110" w:line="268"/>
      </w:pPr>
      <w:r>
        <w:rPr>
          <w:b/>
          <w:bCs/>
        </w:rPr>
        <w:t xml:space="preserve">Demo course. </w:t>
      </w:r>
      <w:r>
        <w:t xml:space="preserve">Part B uses the 'CPS 1231-Full Semester' demo course: 20 synthetic students, 15 published topics, roughly 1,100 quiz attempts. It reads as week 10 of a semester.</w:t>
      </w:r>
    </w:p>
    <w:p>
      <w:pPr>
        <w:pStyle w:val="Heading2"/>
        <w:spacing w:after="110" w:before="240"/>
      </w:pPr>
      <w:r>
        <w:rPr>
          <w:b/>
          <w:bCs/>
        </w:rPr>
        <w:t xml:space="preserve">Pre-session setup checklist (researcher, ~15 min per participant)</w:t>
      </w:r>
    </w:p>
    <w:p>
      <w:pPr>
        <w:pStyle w:val="ListParagraph"/>
        <w:numPr>
          <w:ilvl w:val="0"/>
          <w:numId w:val="2"/>
        </w:numPr>
        <w:spacing w:after="75" w:line="264"/>
      </w:pPr>
      <w:r>
        <w:t xml:space="preserve">Create the participant's sandbox course with an intro-programming syllabus uploaded and topic plan generated as drafts. If the participant sent their own syllabus in advance (offered in the recruitment email), load that instead: higher fidelity at zero session cost.</w:t>
      </w:r>
    </w:p>
    <w:p>
      <w:pPr>
        <w:pStyle w:val="ListParagraph"/>
        <w:numPr>
          <w:ilvl w:val="0"/>
          <w:numId w:val="2"/>
        </w:numPr>
        <w:spacing w:after="75" w:line="264"/>
      </w:pPr>
      <w:r>
        <w:t xml:space="preserve">Confirm the seeded probe student ('Maya R.', Probe 1) is present in the demo course and her watchlist row reads as specified.</w:t>
      </w:r>
    </w:p>
    <w:p>
      <w:pPr>
        <w:pStyle w:val="ListParagraph"/>
        <w:numPr>
          <w:ilvl w:val="0"/>
          <w:numId w:val="2"/>
        </w:numPr>
        <w:spacing w:after="75" w:line="264"/>
      </w:pPr>
      <w:r>
        <w:t xml:space="preserve">Confirm the two probe hooks (Section 6) are enabled for the demo course / study instructor account.</w:t>
      </w:r>
    </w:p>
    <w:p>
      <w:pPr>
        <w:pStyle w:val="ListParagraph"/>
        <w:numPr>
          <w:ilvl w:val="0"/>
          <w:numId w:val="2"/>
        </w:numPr>
        <w:spacing w:after="75" w:line="264"/>
      </w:pPr>
      <w:r>
        <w:t xml:space="preserve">Confirm the sandbox student account logs in and is not yet enrolled in the participant's sandbox course.</w:t>
      </w:r>
    </w:p>
    <w:p>
      <w:pPr>
        <w:pStyle w:val="ListParagraph"/>
        <w:numPr>
          <w:ilvl w:val="0"/>
          <w:numId w:val="2"/>
        </w:numPr>
        <w:spacing w:after="75" w:line="264"/>
      </w:pPr>
      <w:r>
        <w:t xml:space="preserve">Reset the demo course's Insights Assistant chat history.</w:t>
      </w:r>
    </w:p>
    <w:p>
      <w:pPr>
        <w:pStyle w:val="Heading1"/>
        <w:spacing w:after="140" w:before="320"/>
      </w:pPr>
      <w:r>
        <w:rPr>
          <w:b/>
          <w:bCs/>
        </w:rPr>
        <w:t xml:space="preserve">3. Part A: Authoring-and-Verification Loop (25 min) [RQ-A]</w:t>
      </w:r>
    </w:p>
    <w:p>
      <w:pPr>
        <w:spacing w:after="110" w:line="268"/>
      </w:pPr>
      <w:r>
        <w:rPr>
          <w:b/>
          <w:bCs/>
        </w:rPr>
        <w:t xml:space="preserve">Standing instruction (read once): </w:t>
      </w:r>
      <w:r>
        <w:rPr>
          <w:i/>
          <w:iCs/>
        </w:rPr>
        <w:t xml:space="preserve">“Please think out loud the whole time: say what you're looking at, what you expect, what surprises you. There are no right answers; we're studying the system, not you. I can't answer questions about whether the system is correct while you work.”</w:t>
      </w:r>
      <w:r>
        <w:t xml:space="preserve"> (The last sentence licenses the probes without lying.)</w:t>
      </w:r>
    </w:p>
    <w:p>
      <w:pPr>
        <w:spacing w:after="40" w:before="130"/>
      </w:pPr>
      <w:r>
        <w:rPr>
          <w:b/>
          <w:bCs/>
          <w:color w:val="2563EB"/>
        </w:rPr>
        <w:t xml:space="preserve">A1. Write teaching instructions (5 min)</w:t>
      </w:r>
    </w:p>
    <w:p>
      <w:pPr>
        <w:pBdr>
          <w:left w:val="single" w:color="2563EB" w:sz="12" w:space="8"/>
        </w:pBdr>
        <w:spacing w:after="110" w:line="268"/>
        <w:ind w:left="431"/>
      </w:pPr>
      <w:r>
        <w:rPr>
          <w:i/>
          <w:iCs/>
        </w:rPr>
        <w:t xml:space="preserve">This is a sandbox course set up like the intro programming course you teach. On the right you'll find a card called 'AI teaching instructions'. Write the rules you'd want an AI tutor to follow with your actual students. Anything you'd tell a human TA is fair game: how to explain, what to never do, what examples to use. Take about five minutes and narrate your choices as you write.</w:t>
      </w:r>
    </w:p>
    <w:p>
      <w:pPr>
        <w:spacing w:after="110" w:line="268"/>
        <w:ind w:left="431"/>
      </w:pPr>
      <w:r>
        <w:rPr>
          <w:b/>
          <w:bCs/>
        </w:rPr>
        <w:t xml:space="preserve">Verified: </w:t>
      </w:r>
      <w:r>
        <w:t xml:space="preserve">the card saves to the course's global instructions and is injected into the student tutor's system prompt ('Instructor Global Guidelines, authoritative for this course') and into study-plan generation. It does NOT flow into quiz generation. Only the quiz pattern does. If a participant writes quiz rules here and quizzes ignore them, that is a genuine expressiveness-gap finding, not tutor disobedience; the moderator does not correct it in-session (interview Q1 captures it).</w:t>
      </w:r>
    </w:p>
    <w:p>
      <w:pPr>
        <w:spacing w:after="40" w:before="130"/>
      </w:pPr>
      <w:r>
        <w:rPr>
          <w:b/>
          <w:bCs/>
          <w:color w:val="2563EB"/>
        </w:rPr>
        <w:t xml:space="preserve">A2. Configure a quiz pattern, approve, publish (6 min)</w:t>
      </w:r>
    </w:p>
    <w:p>
      <w:pPr>
        <w:pBdr>
          <w:left w:val="single" w:color="2563EB" w:sz="12" w:space="8"/>
        </w:pBdr>
        <w:spacing w:after="110" w:line="268"/>
        <w:ind w:left="431"/>
      </w:pPr>
      <w:r>
        <w:rPr>
          <w:i/>
          <w:iCs/>
        </w:rPr>
        <w:t xml:space="preserve">Open one of the draft topics you know well and click Edit. In the Quiz Pattern section, set it up the way you'd actually assess this module: the number of questions, the cognitive level, the difficulty mix, and any instructor notes. Narrate your choices. Then go back and Approve and Publish that topic.</w:t>
      </w:r>
    </w:p>
    <w:p>
      <w:pPr>
        <w:spacing w:after="110" w:line="268"/>
        <w:ind w:left="431"/>
      </w:pPr>
      <w:r>
        <w:rPr>
          <w:b/>
          <w:bCs/>
        </w:rPr>
        <w:t xml:space="preserve">Verified: </w:t>
      </w:r>
      <w:r>
        <w:t xml:space="preserve">editable fields are Question count (3–10), Cognitive level (all six Bloom levels), Difficulty mix (easy/medium/hard %), and 'Instructor notes'. Question-type weights exist in the data model but have no UI; the script must not ask for them. The pattern verifiably flows into student quiz generation. Lifecycle verified: draft, then Approve, then Publish; students can only start published topics.</w:t>
      </w:r>
    </w:p>
    <w:p>
      <w:pPr>
        <w:spacing w:after="40" w:before="130"/>
      </w:pPr>
      <w:r>
        <w:rPr>
          <w:b/>
          <w:bCs/>
          <w:color w:val="2563EB"/>
        </w:rPr>
        <w:t xml:space="preserve">A3. Role-play as a student (9 min)</w:t>
      </w:r>
    </w:p>
    <w:p>
      <w:pPr>
        <w:pBdr>
          <w:left w:val="single" w:color="2563EB" w:sz="12" w:space="8"/>
        </w:pBdr>
        <w:spacing w:after="110" w:line="268"/>
        <w:ind w:left="431"/>
      </w:pPr>
      <w:r>
        <w:rPr>
          <w:i/>
          <w:iCs/>
        </w:rPr>
        <w:t xml:space="preserve">Now you'll be one of your own students. In this second browser window, you're logged in as a student account. Join your sandbox course with this access code, open the topic you just published, and start learning. First, act like a student genuinely trying to learn. Then comes the fun part: act like a student trying to get around your rules. Try to make the tutor do something you just told it not to do. Narrate whether the tutor is honoring your instructions.</w:t>
      </w:r>
    </w:p>
    <w:p>
      <w:pPr>
        <w:spacing w:after="110" w:line="268"/>
        <w:ind w:left="431"/>
      </w:pPr>
      <w:r>
        <w:rPr>
          <w:b/>
          <w:bCs/>
        </w:rPr>
        <w:t xml:space="preserve">Verified: </w:t>
      </w:r>
      <w:r>
        <w:t xml:space="preserve">students join by access code (shown on the course header with a Copy button). A separate sandbox student account is required: instructor accounts are redirected away from student routes at sign-in and lack the student learning profile that shapes tutor behavior.</w:t>
      </w:r>
    </w:p>
    <w:p>
      <w:pPr>
        <w:spacing w:after="40" w:before="130"/>
      </w:pPr>
      <w:r>
        <w:rPr>
          <w:b/>
          <w:bCs/>
          <w:color w:val="2563EB"/>
        </w:rPr>
        <w:t xml:space="preserve">A4. Verdict and revise (5 min)</w:t>
      </w:r>
    </w:p>
    <w:p>
      <w:pPr>
        <w:pBdr>
          <w:left w:val="single" w:color="2563EB" w:sz="12" w:space="8"/>
        </w:pBdr>
        <w:spacing w:after="110" w:line="268"/>
        <w:ind w:left="431"/>
      </w:pPr>
      <w:r>
        <w:rPr>
          <w:i/>
          <w:iCs/>
        </w:rPr>
        <w:t xml:space="preserve">Give me a verdict: is the tutor following your instructions? What's your evidence? Now revise your instructions to fix anything you didn't like, and tell me what you'd still need to see before you'd let this run in your real course.</w:t>
      </w:r>
    </w:p>
    <w:p>
      <w:pPr>
        <w:spacing w:after="110" w:line="268"/>
        <w:ind w:left="431"/>
      </w:pPr>
      <w:r>
        <w:t xml:space="preserve">Data artifacts: instruction v1 and v2 texts, quiz pattern settings, and the role-play session transcript (recorded by the platform).</w:t>
      </w:r>
    </w:p>
    <w:p>
      <w:pPr>
        <w:pStyle w:val="Heading1"/>
        <w:spacing w:after="140" w:before="320"/>
      </w:pPr>
      <w:r>
        <w:rPr>
          <w:b/>
          <w:bCs/>
        </w:rPr>
        <w:t xml:space="preserve">4. Part B: Monitoring Scenario (29 min) [RQ-B, RQ-C]</w:t>
      </w:r>
    </w:p>
    <w:p>
      <w:pPr>
        <w:spacing w:after="110" w:line="268"/>
      </w:pPr>
      <w:r>
        <w:rPr>
          <w:b/>
          <w:bCs/>
        </w:rPr>
        <w:t xml:space="preserve">Framing read aloud: </w:t>
      </w:r>
      <w:r>
        <w:rPr>
          <w:i/>
          <w:iCs/>
        </w:rPr>
        <w:t xml:space="preserve">“For this part, pretend the 'CPS 1231-Full Semester' course is your class at week 10: 20 students, 15 topics. You have limited time, like always.”</w:t>
      </w:r>
    </w:p>
    <w:p>
      <w:pPr>
        <w:spacing w:after="40" w:before="130"/>
      </w:pPr>
      <w:r>
        <w:rPr>
          <w:b/>
          <w:bCs/>
          <w:color w:val="2563EB"/>
        </w:rPr>
        <w:t xml:space="preserve">B1. Briefing review (5 min), contains Probe 3 [RQ-B]</w:t>
      </w:r>
    </w:p>
    <w:p>
      <w:pPr>
        <w:pBdr>
          <w:left w:val="single" w:color="2563EB" w:sz="12" w:space="8"/>
        </w:pBdr>
        <w:spacing w:after="110" w:line="268"/>
        <w:ind w:left="431"/>
      </w:pPr>
      <w:r>
        <w:rPr>
          <w:i/>
          <w:iCs/>
        </w:rPr>
        <w:t xml:space="preserve">Start where you'd start on a normal morning. Read Today's Briefing as you would over coffee, and tell me: what, if anything, would you actually do today based on it?</w:t>
      </w:r>
    </w:p>
    <w:p>
      <w:pPr>
        <w:spacing w:after="110" w:line="268"/>
        <w:ind w:left="431"/>
      </w:pPr>
      <w:r>
        <w:rPr>
          <w:b/>
          <w:bCs/>
        </w:rPr>
        <w:t xml:space="preserve">Probe 3 (verified feasible): </w:t>
      </w:r>
      <w:r>
        <w:t xml:space="preserve">the briefing is LLM-generated per request; a deterministic, env-flagged hook (roughly 5–8 lines in the briefing route) appends one overgeneralized sentence for the study instructor's account, for example: 'Most of the class has gone quiet this week; engagement is dropping sharply across the course.' Ground truth is on the same screen: the Need-attention card shows 3 students and the KPI tiles show stable sessions. The briefing is cross-course, so the hook gates on the instructor account (verified against the route). Classification: swallowed / checked / challenged.</w:t>
      </w:r>
    </w:p>
    <w:p>
      <w:pPr>
        <w:spacing w:after="40" w:before="130"/>
      </w:pPr>
      <w:r>
        <w:rPr>
          <w:b/>
          <w:bCs/>
          <w:color w:val="2563EB"/>
        </w:rPr>
        <w:t xml:space="preserve">B2. Triage (8 min), contains Probe 1 [RQ-B, RQ-C]</w:t>
      </w:r>
    </w:p>
    <w:p>
      <w:pPr>
        <w:pBdr>
          <w:left w:val="single" w:color="2563EB" w:sz="12" w:space="8"/>
        </w:pBdr>
        <w:spacing w:after="110" w:line="268"/>
        <w:ind w:left="431"/>
      </w:pPr>
      <w:r>
        <w:rPr>
          <w:i/>
          <w:iCs/>
        </w:rPr>
        <w:t xml:space="preserve">You have time to personally reach out to exactly two students this week. Use the dashboard and watchlist to decide which two, and draft one sentence of what you'd say to each. Walk me through how you're deciding.</w:t>
      </w:r>
    </w:p>
    <w:p>
      <w:pPr>
        <w:spacing w:after="110" w:line="268"/>
        <w:ind w:left="431"/>
      </w:pPr>
      <w:r>
        <w:rPr>
          <w:b/>
          <w:bCs/>
        </w:rPr>
        <w:t xml:space="preserve">Probe 1 (corrected and verified against the risk formula): </w:t>
      </w:r>
      <w:r>
        <w:t xml:space="preserve">we seed one synthetic student, 'Maya R.', whose Critical tier contradicts her quality of work. Verified-feasible profile: of 15 published topics she touched exactly one, with 8 quiz attempts scoring 95×7 and a final failing 58. The shipped formula yields an engagement signal of 0.9 (topic coverage, not login recency), pass-rate signal 1.0 (latest attempt failed), quiz signal 0 (average 90.4) yielding a risk score near 75, Critical, with flags no-engagement / low-pass-rate / stuck-topic, while her row and Monitor page show avg 90.4%. The data reads as a strong student who went quiet mid-course with one unresolved fail. Verified: no automatic 'doing well' override exists to self-correct (the only override is manual, instructor-set), and her enrollment is backdated past the 7-day new-enrollment grace rule. Classification: accepts the tier / drills in / notices the contradiction.</w:t>
      </w:r>
    </w:p>
    <w:p>
      <w:pPr>
        <w:spacing w:after="40" w:before="130"/>
      </w:pPr>
      <w:r>
        <w:rPr>
          <w:b/>
          <w:bCs/>
          <w:color w:val="2563EB"/>
        </w:rPr>
        <w:t xml:space="preserve">B3. Insights Assistant (6 min), contains Probe 2 [RQ-B]</w:t>
      </w:r>
    </w:p>
    <w:p>
      <w:pPr>
        <w:pBdr>
          <w:left w:val="single" w:color="2563EB" w:sz="12" w:space="8"/>
        </w:pBdr>
        <w:spacing w:after="110" w:line="268"/>
        <w:ind w:left="431"/>
      </w:pPr>
      <w:r>
        <w:rPr>
          <w:i/>
          <w:iCs/>
        </w:rPr>
        <w:t xml:space="preserve">You're planning next week's lecture and want to reteach whatever the class struggled with most. Ask the Insights Assistant whatever you'd naturally ask, and decide what to reteach. You can use anything else on the dashboard too.</w:t>
      </w:r>
    </w:p>
    <w:p>
      <w:pPr>
        <w:spacing w:after="110" w:line="268"/>
        <w:ind w:left="431"/>
      </w:pPr>
      <w:r>
        <w:rPr>
          <w:b/>
          <w:bCs/>
        </w:rPr>
        <w:t xml:space="preserve">Probe 2 (corrected with real course data, live-checked July 29): </w:t>
      </w:r>
      <w:r>
        <w:t xml:space="preserve">the demo course's true weakest topic by first-attempt pass is Arrays: Sorting and Searching at 56% (then Variables 58%, Conditional 59%). The planted answer claims 'Methods has the lowest first-attempt pass rate at 63%': a real topic with its real number but the wrong rank (fifth-hardest). The truth is two clicks away in the Quiz difficulty by topic table. Implementation: a deterministic canned reply (env-flagged, roughly 8–12 lines in the instructor-chat route) when the demo course is in scope and the message matches weakest/struggle/lowest/reteach patterns; the exchange persists to the chat transcript. Classification: cross-checks / accepts and plans to reteach Methods / challenges the assistant.</w:t>
      </w:r>
    </w:p>
    <w:p>
      <w:pPr>
        <w:spacing w:after="40" w:before="130"/>
      </w:pPr>
      <w:r>
        <w:rPr>
          <w:b/>
          <w:bCs/>
          <w:color w:val="2563EB"/>
        </w:rPr>
        <w:t xml:space="preserve">B4. Session replay (6 min) [RQ-C, RQ-B]</w:t>
      </w:r>
    </w:p>
    <w:p>
      <w:pPr>
        <w:pBdr>
          <w:left w:val="single" w:color="2563EB" w:sz="12" w:space="8"/>
        </w:pBdr>
        <w:spacing w:after="110" w:line="268"/>
        <w:ind w:left="431"/>
      </w:pPr>
      <w:r>
        <w:rPr>
          <w:i/>
          <w:iCs/>
        </w:rPr>
        <w:t xml:space="preserve">Isabela Zhao has a 1:1 with you tomorrow. Use her Monitor page, including session replay down to her individual quiz answers, to prepare. Then tell me: in the meeting, what would you say to Isabela about how you prepared? Would you tell her you watched her replays?</w:t>
      </w:r>
    </w:p>
    <w:p>
      <w:pPr>
        <w:spacing w:after="110" w:line="268"/>
        <w:ind w:left="431"/>
      </w:pPr>
      <w:r>
        <w:rPr>
          <w:b/>
          <w:bCs/>
        </w:rPr>
        <w:t xml:space="preserve">Verified: </w:t>
      </w:r>
      <w:r>
        <w:t xml:space="preserve">Isabela Zhao exists in the demo cohort (Watch tier, 30/100, 13 of 15 topics touched, the richest replay material in the class). The Monitor page has per-topic progress, session replay to the quiz-answer level, and functional course- and topic-scoped instructor notes. The disclosure question is the behavioral surveillance probe.</w:t>
      </w:r>
    </w:p>
    <w:p>
      <w:pPr>
        <w:spacing w:after="40" w:before="130"/>
      </w:pPr>
      <w:r>
        <w:rPr>
          <w:b/>
          <w:bCs/>
          <w:color w:val="2563EB"/>
        </w:rPr>
        <w:t xml:space="preserve">B5. Syllabus disclosure (4 min, droppable) [RQ-C]</w:t>
      </w:r>
    </w:p>
    <w:p>
      <w:pPr>
        <w:pBdr>
          <w:left w:val="single" w:color="2563EB" w:sz="12" w:space="8"/>
        </w:pBdr>
        <w:spacing w:after="110" w:line="268"/>
        <w:ind w:left="431"/>
      </w:pPr>
      <w:r>
        <w:rPr>
          <w:i/>
          <w:iCs/>
        </w:rPr>
        <w:t xml:space="preserve">The department asks you to write two sentences for the syllabus telling students what the instructor can see about their AI-tutor use in this system. Write them. Say out loud anything you're tempted to leave out, and why.</w:t>
      </w:r>
    </w:p>
    <w:p>
      <w:pPr>
        <w:pStyle w:val="Heading1"/>
        <w:spacing w:after="140" w:before="320"/>
      </w:pPr>
      <w:r>
        <w:rPr>
          <w:b/>
          <w:bCs/>
        </w:rPr>
        <w:t xml:space="preserve">5. Semi-Structured Interview Guide</w:t>
      </w:r>
    </w:p>
    <w:p>
      <w:pPr>
        <w:spacing w:after="110" w:line="268"/>
      </w:pPr>
      <w:r>
        <w:rPr>
          <w:i/>
          <w:iCs/>
        </w:rPr>
        <w:t xml:space="preserve">Q11–Q12 are asked only after the debrief. Follow-up probes shown after each arrow.</w:t>
      </w:r>
    </w:p>
    <w:p>
      <w:pPr>
        <w:spacing w:after="110" w:line="268"/>
      </w:pPr>
      <w:r>
        <w:rPr>
          <w:b/>
          <w:bCs/>
        </w:rPr>
        <w:t xml:space="preserve">Q1 [RQ-A]  </w:t>
      </w:r>
      <w:r>
        <w:t xml:space="preserve">When you wrote your teaching instructions, who did it feel like you were writing to: a TA, a machine, a legal document?</w:t>
      </w:r>
    </w:p>
    <w:p>
      <w:pPr>
        <w:spacing w:after="150" w:line="260"/>
        <w:ind w:left="431"/>
      </w:pPr>
      <w:r>
        <w:rPr>
          <w:i/>
          <w:iCs/>
        </w:rPr>
        <w:t xml:space="preserve">→ What did you leave out because you doubted the AI could follow it? · Was there anything you wrote that didn't seem to take effect anywhere?</w:t>
      </w:r>
    </w:p>
    <w:p>
      <w:pPr>
        <w:spacing w:after="110" w:line="268"/>
      </w:pPr>
      <w:r>
        <w:rPr>
          <w:b/>
          <w:bCs/>
        </w:rPr>
        <w:t xml:space="preserve">Q2 [RQ-A]  </w:t>
      </w:r>
      <w:r>
        <w:t xml:space="preserve">What is something you would never let the AI tutor do in your course, no matter how good it got?</w:t>
      </w:r>
    </w:p>
    <w:p>
      <w:pPr>
        <w:spacing w:after="150" w:line="260"/>
        <w:ind w:left="431"/>
      </w:pPr>
      <w:r>
        <w:rPr>
          <w:i/>
          <w:iCs/>
        </w:rPr>
        <w:t xml:space="preserve">→ Where's the line between that and what you delegated today? · Has that line moved in the last hour?</w:t>
      </w:r>
    </w:p>
    <w:p>
      <w:pPr>
        <w:spacing w:after="110" w:line="268"/>
      </w:pPr>
      <w:r>
        <w:rPr>
          <w:b/>
          <w:bCs/>
        </w:rPr>
        <w:t xml:space="preserve">Q3 [RQ-A]  </w:t>
      </w:r>
      <w:r>
        <w:t xml:space="preserve">You role-played as a student for about nine minutes. Is that enough evidence that the tutor will honor your rules across a whole semester?</w:t>
      </w:r>
    </w:p>
    <w:p>
      <w:pPr>
        <w:spacing w:after="150" w:line="260"/>
        <w:ind w:left="431"/>
      </w:pPr>
      <w:r>
        <w:rPr>
          <w:i/>
          <w:iCs/>
        </w:rPr>
        <w:t xml:space="preserve">→ What would 'enough' look like? · Whose job is that ongoing checking: yours, the platform's, nobody's?</w:t>
      </w:r>
    </w:p>
    <w:p>
      <w:pPr>
        <w:spacing w:after="110" w:line="268"/>
      </w:pPr>
      <w:r>
        <w:rPr>
          <w:b/>
          <w:bCs/>
        </w:rPr>
        <w:t xml:space="preserve">Q4 [RQ-A/B]  </w:t>
      </w:r>
      <w:r>
        <w:t xml:space="preserve">Suppose the tutor teaches a student something wrong, or solves their homework despite your instructions, and it affects their grade. Who is responsible?</w:t>
      </w:r>
    </w:p>
    <w:p>
      <w:pPr>
        <w:spacing w:after="150" w:line="260"/>
        <w:ind w:left="431"/>
      </w:pPr>
      <w:r>
        <w:rPr>
          <w:i/>
          <w:iCs/>
        </w:rPr>
        <w:t xml:space="preserve">→ Does writing the instructions yourself make you more or less responsible? · What would you say to the student?</w:t>
      </w:r>
    </w:p>
    <w:p>
      <w:pPr>
        <w:spacing w:after="110" w:line="268"/>
      </w:pPr>
      <w:r>
        <w:rPr>
          <w:b/>
          <w:bCs/>
        </w:rPr>
        <w:t xml:space="preserve">Q5 [RQ-B]  </w:t>
      </w:r>
      <w:r>
        <w:t xml:space="preserve">Before you'd act on a risk tier, say by emailing a student's advisor, what would you need to see first?</w:t>
      </w:r>
    </w:p>
    <w:p>
      <w:pPr>
        <w:spacing w:after="150" w:line="260"/>
        <w:ind w:left="431"/>
      </w:pPr>
      <w:r>
        <w:rPr>
          <w:i/>
          <w:iCs/>
        </w:rPr>
        <w:t xml:space="preserve">→ You drilled into some students' pages and not others; what made the difference? · Is the 0–100 score itself meaningful, or just the tier?</w:t>
      </w:r>
    </w:p>
    <w:p>
      <w:pPr>
        <w:spacing w:after="110" w:line="268"/>
      </w:pPr>
      <w:r>
        <w:rPr>
          <w:b/>
          <w:bCs/>
        </w:rPr>
        <w:t xml:space="preserve">Q6 [RQ-B]  </w:t>
      </w:r>
      <w:r>
        <w:t xml:space="preserve">The Insights Assistant and the briefing both make claims about your class in plain English. How do you decide when a claim like that needs checking?</w:t>
      </w:r>
    </w:p>
    <w:p>
      <w:pPr>
        <w:spacing w:after="150" w:line="260"/>
        <w:ind w:left="431"/>
      </w:pPr>
      <w:r>
        <w:rPr>
          <w:i/>
          <w:iCs/>
        </w:rPr>
        <w:t xml:space="preserve">→ Did you check any today? What triggered it, or what let you skip it?</w:t>
      </w:r>
    </w:p>
    <w:p>
      <w:pPr>
        <w:spacing w:after="110" w:line="268"/>
      </w:pPr>
      <w:r>
        <w:rPr>
          <w:b/>
          <w:bCs/>
        </w:rPr>
        <w:t xml:space="preserve">Q7 [RQ-C]  </w:t>
      </w:r>
      <w:r>
        <w:t xml:space="preserve">How do you think your actual students would feel knowing you can replay their tutoring sessions down to each quiz answer?</w:t>
      </w:r>
    </w:p>
    <w:p>
      <w:pPr>
        <w:spacing w:after="150" w:line="260"/>
        <w:ind w:left="431"/>
      </w:pPr>
      <w:r>
        <w:rPr>
          <w:i/>
          <w:iCs/>
        </w:rPr>
        <w:t xml:space="preserve">→ Would knowing they're watched change how they use the tutor? · Is there anything in this dashboard you'd rather not be able to see?</w:t>
      </w:r>
    </w:p>
    <w:p>
      <w:pPr>
        <w:spacing w:after="110" w:line="268"/>
      </w:pPr>
      <w:r>
        <w:rPr>
          <w:b/>
          <w:bCs/>
        </w:rPr>
        <w:t xml:space="preserve">Q8 [RQ-C]  </w:t>
      </w:r>
      <w:r>
        <w:t xml:space="preserve">Does this kind of monitoring change what kind of teacher you are to a struggling student?</w:t>
      </w:r>
    </w:p>
    <w:p>
      <w:pPr>
        <w:spacing w:after="150" w:line="260"/>
        <w:ind w:left="431"/>
      </w:pPr>
      <w:r>
        <w:rPr>
          <w:i/>
          <w:iCs/>
        </w:rPr>
        <w:t xml:space="preserve">→ Help or surveillance: where's the line? · Do the tier labels ('Critical', 'High') change how you'd feel walking into class?</w:t>
      </w:r>
    </w:p>
    <w:p>
      <w:pPr>
        <w:spacing w:after="110" w:line="268"/>
      </w:pPr>
      <w:r>
        <w:rPr>
          <w:b/>
          <w:bCs/>
        </w:rPr>
        <w:t xml:space="preserve">Q9 [RQ-B/C]  </w:t>
      </w:r>
      <w:r>
        <w:t xml:space="preserve">If your department chair could see this same dashboard for your course, would that change anything?</w:t>
      </w:r>
    </w:p>
    <w:p>
      <w:pPr>
        <w:spacing w:after="150" w:line="260"/>
        <w:ind w:left="431"/>
      </w:pPr>
      <w:r>
        <w:rPr>
          <w:i/>
          <w:iCs/>
        </w:rPr>
        <w:t xml:space="preserve">→ What about tiers visible to advisors or retention offices?</w:t>
      </w:r>
    </w:p>
    <w:p>
      <w:pPr>
        <w:spacing w:after="110" w:line="268"/>
      </w:pPr>
      <w:r>
        <w:rPr>
          <w:b/>
          <w:bCs/>
        </w:rPr>
        <w:t xml:space="preserve">Q10 [adoption]  </w:t>
      </w:r>
      <w:r>
        <w:t xml:space="preserve">Concretely: what would have to be true for you to run your actual course on this in the spring?</w:t>
      </w:r>
    </w:p>
    <w:p>
      <w:pPr>
        <w:spacing w:after="150" w:line="260"/>
        <w:ind w:left="431"/>
      </w:pPr>
      <w:r>
        <w:rPr>
          <w:i/>
          <w:iCs/>
        </w:rPr>
        <w:t xml:space="preserve">→ What's the first thing that would make you turn it off?</w:t>
      </w:r>
    </w:p>
    <w:p>
      <w:pPr>
        <w:spacing w:after="110" w:line="268"/>
      </w:pPr>
      <w:r>
        <w:rPr>
          <w:b/>
          <w:bCs/>
        </w:rPr>
        <w:t xml:space="preserve">Q11 [RQ-B, post-debrief]  </w:t>
      </w:r>
      <w:r>
        <w:t xml:space="preserve">You saw all three of those today: Maya's Critical flag, the assistant's 'Methods' answer, and the briefing's 'class going quiet' line. Did anything feel off in the moment?</w:t>
      </w:r>
    </w:p>
    <w:p>
      <w:pPr>
        <w:spacing w:after="150" w:line="260"/>
        <w:ind w:left="431"/>
      </w:pPr>
      <w:r>
        <w:rPr>
          <w:i/>
          <w:iCs/>
        </w:rPr>
        <w:t xml:space="preserve">→ (If caught:) What tipped you off? · (If not:) What would have helped you catch it?</w:t>
      </w:r>
    </w:p>
    <w:p>
      <w:pPr>
        <w:spacing w:after="110" w:line="268"/>
      </w:pPr>
      <w:r>
        <w:rPr>
          <w:b/>
          <w:bCs/>
        </w:rPr>
        <w:t xml:space="preserve">Q12 [RQ-B, post-debrief]  </w:t>
      </w:r>
      <w:r>
        <w:t xml:space="preserve">Now that you know the system can be wrong in these ways, does that change your answer about acting on its outputs?</w:t>
      </w:r>
    </w:p>
    <w:p>
      <w:pPr>
        <w:spacing w:after="150" w:line="260"/>
        <w:ind w:left="431"/>
      </w:pPr>
      <w:r>
        <w:rPr>
          <w:i/>
          <w:iCs/>
        </w:rPr>
        <w:t xml:space="preserve">→ Would you want the system to show its uncertainty, and would you actually look at it?</w:t>
      </w:r>
    </w:p>
    <w:p>
      <w:pPr>
        <w:pStyle w:val="Heading1"/>
        <w:spacing w:after="140" w:before="320"/>
      </w:pPr>
      <w:r>
        <w:rPr>
          <w:b/>
          <w:bCs/>
        </w:rPr>
        <w:t xml:space="preserve">6. Survey Instrument (~6 minutes, Qualtrics)</w:t>
      </w:r>
    </w:p>
    <w:p>
      <w:pPr>
        <w:pStyle w:val="Heading2"/>
        <w:spacing w:after="110" w:before="240"/>
      </w:pPr>
      <w:r>
        <w:rPr>
          <w:b/>
          <w:bCs/>
        </w:rPr>
        <w:t xml:space="preserve">Block 1: System Usability Scale</w:t>
      </w:r>
    </w:p>
    <w:p>
      <w:pPr>
        <w:spacing w:after="110" w:line="268"/>
      </w:pPr>
      <w:r>
        <w:t xml:space="preserve">Standard 10-item SUS, 5-point scale (continuity with the Phase 1 student study).</w:t>
      </w:r>
    </w:p>
    <w:p>
      <w:pPr>
        <w:pStyle w:val="Heading2"/>
        <w:spacing w:after="110" w:before="240"/>
      </w:pPr>
      <w:r>
        <w:rPr>
          <w:b/>
          <w:bCs/>
        </w:rPr>
        <w:t xml:space="preserve">Block 2: Custom items (7-point Likert)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840"/>
        <w:gridCol w:w="1440"/>
      </w:tblGrid>
      <w:tr>
        <w:trPr>
          <w:tblHeader/>
        </w:trPr>
        <w:tc>
          <w:tcPr>
            <w:tcW w:type="dxa" w:w="1080"/>
            <w:shd w:fill="F2F4F7" w:val="clear"/>
            <w:tcMar>
              <w:top w:type="dxa" w:w="55"/>
              <w:left w:type="dxa" w:w="95"/>
              <w:bottom w:type="dxa" w:w="55"/>
              <w:right w:type="dxa" w:w="95"/>
            </w:tcMar>
          </w:tcPr>
          <w:p>
            <w:pPr>
              <w:spacing w:after="0" w:line="240"/>
            </w:pPr>
            <w:r>
              <w:rPr>
                <w:b/>
                <w:bCs/>
                <w:sz w:val="18"/>
                <w:szCs w:val="18"/>
              </w:rPr>
              <w:t xml:space="preserve">Item</w:t>
            </w:r>
          </w:p>
        </w:tc>
        <w:tc>
          <w:tcPr>
            <w:tcW w:type="dxa" w:w="6840"/>
            <w:shd w:fill="F2F4F7" w:val="clear"/>
            <w:tcMar>
              <w:top w:type="dxa" w:w="55"/>
              <w:left w:type="dxa" w:w="95"/>
              <w:bottom w:type="dxa" w:w="55"/>
              <w:right w:type="dxa" w:w="95"/>
            </w:tcMar>
          </w:tcPr>
          <w:p>
            <w:pPr>
              <w:spacing w:after="0" w:line="240"/>
            </w:pPr>
            <w:r>
              <w:rPr>
                <w:b/>
                <w:bCs/>
                <w:sz w:val="18"/>
                <w:szCs w:val="18"/>
              </w:rPr>
              <w:t xml:space="preserve">Statement</w:t>
            </w:r>
          </w:p>
        </w:tc>
        <w:tc>
          <w:tcPr>
            <w:tcW w:type="dxa" w:w="1440"/>
            <w:shd w:fill="F2F4F7" w:val="clear"/>
            <w:tcMar>
              <w:top w:type="dxa" w:w="55"/>
              <w:left w:type="dxa" w:w="95"/>
              <w:bottom w:type="dxa" w:w="55"/>
              <w:right w:type="dxa" w:w="95"/>
            </w:tcMar>
          </w:tcPr>
          <w:p>
            <w:pPr>
              <w:spacing w:after="0" w:line="240"/>
            </w:pPr>
            <w:r>
              <w:rPr>
                <w:b/>
                <w:bCs/>
                <w:sz w:val="18"/>
                <w:szCs w:val="18"/>
              </w:rPr>
              <w:t xml:space="preserve">RQ</w:t>
            </w:r>
          </w:p>
        </w:tc>
      </w:tr>
      <w:tr>
        <w:trPr>
          <w:tblHeader w:val="false"/>
        </w:trPr>
        <w:tc>
          <w:tcPr>
            <w:tcW w:type="dxa" w:w="1080"/>
            <w:tcMar>
              <w:top w:type="dxa" w:w="55"/>
              <w:left w:type="dxa" w:w="95"/>
              <w:bottom w:type="dxa" w:w="55"/>
              <w:right w:type="dxa" w:w="95"/>
            </w:tcMar>
          </w:tcPr>
          <w:p>
            <w:pPr>
              <w:spacing w:after="0" w:line="240"/>
            </w:pPr>
            <w:r>
              <w:rPr>
                <w:b w:val="false"/>
                <w:bCs w:val="false"/>
                <w:sz w:val="18"/>
                <w:szCs w:val="18"/>
              </w:rPr>
              <w:t xml:space="preserve">S1</w:t>
            </w:r>
          </w:p>
        </w:tc>
        <w:tc>
          <w:tcPr>
            <w:tcW w:type="dxa" w:w="6840"/>
            <w:tcMar>
              <w:top w:type="dxa" w:w="55"/>
              <w:left w:type="dxa" w:w="95"/>
              <w:bottom w:type="dxa" w:w="55"/>
              <w:right w:type="dxa" w:w="95"/>
            </w:tcMar>
          </w:tcPr>
          <w:p>
            <w:pPr>
              <w:spacing w:after="0" w:line="240"/>
            </w:pPr>
            <w:r>
              <w:rPr>
                <w:b w:val="false"/>
                <w:bCs w:val="false"/>
                <w:sz w:val="18"/>
                <w:szCs w:val="18"/>
              </w:rPr>
              <w:t xml:space="preserve">I would act on this system's risk tiers without checking the underlying student evidence myself.</w:t>
            </w:r>
          </w:p>
        </w:tc>
        <w:tc>
          <w:tcPr>
            <w:tcW w:type="dxa" w:w="1440"/>
            <w:tcMar>
              <w:top w:type="dxa" w:w="55"/>
              <w:left w:type="dxa" w:w="95"/>
              <w:bottom w:type="dxa" w:w="55"/>
              <w:right w:type="dxa" w:w="95"/>
            </w:tcMar>
          </w:tcPr>
          <w:p>
            <w:pPr>
              <w:spacing w:after="0" w:line="240"/>
            </w:pPr>
            <w:r>
              <w:rPr>
                <w:b w:val="false"/>
                <w:bCs w:val="false"/>
                <w:sz w:val="18"/>
                <w:szCs w:val="18"/>
              </w:rPr>
              <w:t xml:space="preserve">RQ-B</w:t>
            </w:r>
          </w:p>
        </w:tc>
      </w:tr>
      <w:tr>
        <w:trPr>
          <w:tblHeader w:val="false"/>
        </w:trPr>
        <w:tc>
          <w:tcPr>
            <w:tcW w:type="dxa" w:w="1080"/>
            <w:tcMar>
              <w:top w:type="dxa" w:w="55"/>
              <w:left w:type="dxa" w:w="95"/>
              <w:bottom w:type="dxa" w:w="55"/>
              <w:right w:type="dxa" w:w="95"/>
            </w:tcMar>
          </w:tcPr>
          <w:p>
            <w:pPr>
              <w:spacing w:after="0" w:line="240"/>
            </w:pPr>
            <w:r>
              <w:rPr>
                <w:b w:val="false"/>
                <w:bCs w:val="false"/>
                <w:sz w:val="18"/>
                <w:szCs w:val="18"/>
              </w:rPr>
              <w:t xml:space="preserve">S2</w:t>
            </w:r>
          </w:p>
        </w:tc>
        <w:tc>
          <w:tcPr>
            <w:tcW w:type="dxa" w:w="6840"/>
            <w:tcMar>
              <w:top w:type="dxa" w:w="55"/>
              <w:left w:type="dxa" w:w="95"/>
              <w:bottom w:type="dxa" w:w="55"/>
              <w:right w:type="dxa" w:w="95"/>
            </w:tcMar>
          </w:tcPr>
          <w:p>
            <w:pPr>
              <w:spacing w:after="0" w:line="240"/>
            </w:pPr>
            <w:r>
              <w:rPr>
                <w:b w:val="false"/>
                <w:bCs w:val="false"/>
                <w:sz w:val="18"/>
                <w:szCs w:val="18"/>
              </w:rPr>
              <w:t xml:space="preserve">When the Insights Assistant or the briefing made a claim about the class, I could tell whether it was accurate.</w:t>
            </w:r>
          </w:p>
        </w:tc>
        <w:tc>
          <w:tcPr>
            <w:tcW w:type="dxa" w:w="1440"/>
            <w:tcMar>
              <w:top w:type="dxa" w:w="55"/>
              <w:left w:type="dxa" w:w="95"/>
              <w:bottom w:type="dxa" w:w="55"/>
              <w:right w:type="dxa" w:w="95"/>
            </w:tcMar>
          </w:tcPr>
          <w:p>
            <w:pPr>
              <w:spacing w:after="0" w:line="240"/>
            </w:pPr>
            <w:r>
              <w:rPr>
                <w:b w:val="false"/>
                <w:bCs w:val="false"/>
                <w:sz w:val="18"/>
                <w:szCs w:val="18"/>
              </w:rPr>
              <w:t xml:space="preserve">RQ-B</w:t>
            </w:r>
          </w:p>
        </w:tc>
      </w:tr>
      <w:tr>
        <w:trPr>
          <w:tblHeader w:val="false"/>
        </w:trPr>
        <w:tc>
          <w:tcPr>
            <w:tcW w:type="dxa" w:w="1080"/>
            <w:tcMar>
              <w:top w:type="dxa" w:w="55"/>
              <w:left w:type="dxa" w:w="95"/>
              <w:bottom w:type="dxa" w:w="55"/>
              <w:right w:type="dxa" w:w="95"/>
            </w:tcMar>
          </w:tcPr>
          <w:p>
            <w:pPr>
              <w:spacing w:after="0" w:line="240"/>
            </w:pPr>
            <w:r>
              <w:rPr>
                <w:b w:val="false"/>
                <w:bCs w:val="false"/>
                <w:sz w:val="18"/>
                <w:szCs w:val="18"/>
              </w:rPr>
              <w:t xml:space="preserve">S3</w:t>
            </w:r>
          </w:p>
        </w:tc>
        <w:tc>
          <w:tcPr>
            <w:tcW w:type="dxa" w:w="6840"/>
            <w:tcMar>
              <w:top w:type="dxa" w:w="55"/>
              <w:left w:type="dxa" w:w="95"/>
              <w:bottom w:type="dxa" w:w="55"/>
              <w:right w:type="dxa" w:w="95"/>
            </w:tcMar>
          </w:tcPr>
          <w:p>
            <w:pPr>
              <w:spacing w:after="0" w:line="240"/>
            </w:pPr>
            <w:r>
              <w:rPr>
                <w:b w:val="false"/>
                <w:bCs w:val="false"/>
                <w:sz w:val="18"/>
                <w:szCs w:val="18"/>
              </w:rPr>
              <w:t xml:space="preserve">The AI teaching instructions gave me enough control over how the tutor would teach my students.</w:t>
            </w:r>
          </w:p>
        </w:tc>
        <w:tc>
          <w:tcPr>
            <w:tcW w:type="dxa" w:w="1440"/>
            <w:tcMar>
              <w:top w:type="dxa" w:w="55"/>
              <w:left w:type="dxa" w:w="95"/>
              <w:bottom w:type="dxa" w:w="55"/>
              <w:right w:type="dxa" w:w="95"/>
            </w:tcMar>
          </w:tcPr>
          <w:p>
            <w:pPr>
              <w:spacing w:after="0" w:line="240"/>
            </w:pPr>
            <w:r>
              <w:rPr>
                <w:b w:val="false"/>
                <w:bCs w:val="false"/>
                <w:sz w:val="18"/>
                <w:szCs w:val="18"/>
              </w:rPr>
              <w:t xml:space="preserve">RQ-A</w:t>
            </w:r>
          </w:p>
        </w:tc>
      </w:tr>
      <w:tr>
        <w:trPr>
          <w:tblHeader w:val="false"/>
        </w:trPr>
        <w:tc>
          <w:tcPr>
            <w:tcW w:type="dxa" w:w="1080"/>
            <w:tcMar>
              <w:top w:type="dxa" w:w="55"/>
              <w:left w:type="dxa" w:w="95"/>
              <w:bottom w:type="dxa" w:w="55"/>
              <w:right w:type="dxa" w:w="95"/>
            </w:tcMar>
          </w:tcPr>
          <w:p>
            <w:pPr>
              <w:spacing w:after="0" w:line="240"/>
            </w:pPr>
            <w:r>
              <w:rPr>
                <w:b w:val="false"/>
                <w:bCs w:val="false"/>
                <w:sz w:val="18"/>
                <w:szCs w:val="18"/>
              </w:rPr>
              <w:t xml:space="preserve">S4</w:t>
            </w:r>
          </w:p>
        </w:tc>
        <w:tc>
          <w:tcPr>
            <w:tcW w:type="dxa" w:w="6840"/>
            <w:tcMar>
              <w:top w:type="dxa" w:w="55"/>
              <w:left w:type="dxa" w:w="95"/>
              <w:bottom w:type="dxa" w:w="55"/>
              <w:right w:type="dxa" w:w="95"/>
            </w:tcMar>
          </w:tcPr>
          <w:p>
            <w:pPr>
              <w:spacing w:after="0" w:line="240"/>
            </w:pPr>
            <w:r>
              <w:rPr>
                <w:b w:val="false"/>
                <w:bCs w:val="false"/>
                <w:sz w:val="18"/>
                <w:szCs w:val="18"/>
              </w:rPr>
              <w:t xml:space="preserve">If the AI tutor gave a student bad guidance in my course, I would consider myself responsible for it.</w:t>
            </w:r>
          </w:p>
        </w:tc>
        <w:tc>
          <w:tcPr>
            <w:tcW w:type="dxa" w:w="1440"/>
            <w:tcMar>
              <w:top w:type="dxa" w:w="55"/>
              <w:left w:type="dxa" w:w="95"/>
              <w:bottom w:type="dxa" w:w="55"/>
              <w:right w:type="dxa" w:w="95"/>
            </w:tcMar>
          </w:tcPr>
          <w:p>
            <w:pPr>
              <w:spacing w:after="0" w:line="240"/>
            </w:pPr>
            <w:r>
              <w:rPr>
                <w:b w:val="false"/>
                <w:bCs w:val="false"/>
                <w:sz w:val="18"/>
                <w:szCs w:val="18"/>
              </w:rPr>
              <w:t xml:space="preserve">RQ-A/B</w:t>
            </w:r>
          </w:p>
        </w:tc>
      </w:tr>
      <w:tr>
        <w:trPr>
          <w:tblHeader w:val="false"/>
        </w:trPr>
        <w:tc>
          <w:tcPr>
            <w:tcW w:type="dxa" w:w="1080"/>
            <w:tcMar>
              <w:top w:type="dxa" w:w="55"/>
              <w:left w:type="dxa" w:w="95"/>
              <w:bottom w:type="dxa" w:w="55"/>
              <w:right w:type="dxa" w:w="95"/>
            </w:tcMar>
          </w:tcPr>
          <w:p>
            <w:pPr>
              <w:spacing w:after="0" w:line="240"/>
            </w:pPr>
            <w:r>
              <w:rPr>
                <w:b w:val="false"/>
                <w:bCs w:val="false"/>
                <w:sz w:val="18"/>
                <w:szCs w:val="18"/>
              </w:rPr>
              <w:t xml:space="preserve">S5</w:t>
            </w:r>
          </w:p>
        </w:tc>
        <w:tc>
          <w:tcPr>
            <w:tcW w:type="dxa" w:w="6840"/>
            <w:tcMar>
              <w:top w:type="dxa" w:w="55"/>
              <w:left w:type="dxa" w:w="95"/>
              <w:bottom w:type="dxa" w:w="55"/>
              <w:right w:type="dxa" w:w="95"/>
            </w:tcMar>
          </w:tcPr>
          <w:p>
            <w:pPr>
              <w:spacing w:after="0" w:line="240"/>
            </w:pPr>
            <w:r>
              <w:rPr>
                <w:b w:val="false"/>
                <w:bCs w:val="false"/>
                <w:sz w:val="18"/>
                <w:szCs w:val="18"/>
              </w:rPr>
              <w:t xml:space="preserve">Reviewing individual students' session replays is an appropriate part of my role as their instructor.</w:t>
            </w:r>
          </w:p>
        </w:tc>
        <w:tc>
          <w:tcPr>
            <w:tcW w:type="dxa" w:w="1440"/>
            <w:tcMar>
              <w:top w:type="dxa" w:w="55"/>
              <w:left w:type="dxa" w:w="95"/>
              <w:bottom w:type="dxa" w:w="55"/>
              <w:right w:type="dxa" w:w="95"/>
            </w:tcMar>
          </w:tcPr>
          <w:p>
            <w:pPr>
              <w:spacing w:after="0" w:line="240"/>
            </w:pPr>
            <w:r>
              <w:rPr>
                <w:b w:val="false"/>
                <w:bCs w:val="false"/>
                <w:sz w:val="18"/>
                <w:szCs w:val="18"/>
              </w:rPr>
              <w:t xml:space="preserve">RQ-C</w:t>
            </w:r>
          </w:p>
        </w:tc>
      </w:tr>
      <w:tr>
        <w:trPr>
          <w:tblHeader w:val="false"/>
        </w:trPr>
        <w:tc>
          <w:tcPr>
            <w:tcW w:type="dxa" w:w="1080"/>
            <w:tcMar>
              <w:top w:type="dxa" w:w="55"/>
              <w:left w:type="dxa" w:w="95"/>
              <w:bottom w:type="dxa" w:w="55"/>
              <w:right w:type="dxa" w:w="95"/>
            </w:tcMar>
          </w:tcPr>
          <w:p>
            <w:pPr>
              <w:spacing w:after="0" w:line="240"/>
            </w:pPr>
            <w:r>
              <w:rPr>
                <w:b w:val="false"/>
                <w:bCs w:val="false"/>
                <w:sz w:val="18"/>
                <w:szCs w:val="18"/>
              </w:rPr>
              <w:t xml:space="preserve">S6</w:t>
            </w:r>
          </w:p>
        </w:tc>
        <w:tc>
          <w:tcPr>
            <w:tcW w:type="dxa" w:w="6840"/>
            <w:tcMar>
              <w:top w:type="dxa" w:w="55"/>
              <w:left w:type="dxa" w:w="95"/>
              <w:bottom w:type="dxa" w:w="55"/>
              <w:right w:type="dxa" w:w="95"/>
            </w:tcMar>
          </w:tcPr>
          <w:p>
            <w:pPr>
              <w:spacing w:after="0" w:line="240"/>
            </w:pPr>
            <w:r>
              <w:rPr>
                <w:b w:val="false"/>
                <w:bCs w:val="false"/>
                <w:sz w:val="18"/>
                <w:szCs w:val="18"/>
              </w:rPr>
              <w:t xml:space="preserve">I would use this system in a course I am teaching within the next year.</w:t>
            </w:r>
          </w:p>
        </w:tc>
        <w:tc>
          <w:tcPr>
            <w:tcW w:type="dxa" w:w="1440"/>
            <w:tcMar>
              <w:top w:type="dxa" w:w="55"/>
              <w:left w:type="dxa" w:w="95"/>
              <w:bottom w:type="dxa" w:w="55"/>
              <w:right w:type="dxa" w:w="95"/>
            </w:tcMar>
          </w:tcPr>
          <w:p>
            <w:pPr>
              <w:spacing w:after="0" w:line="240"/>
            </w:pPr>
            <w:r>
              <w:rPr>
                <w:b w:val="false"/>
                <w:bCs w:val="false"/>
                <w:sz w:val="18"/>
                <w:szCs w:val="18"/>
              </w:rPr>
              <w:t xml:space="preserve">adoption</w:t>
            </w:r>
          </w:p>
        </w:tc>
      </w:tr>
    </w:tbl>
    <w:p>
      <w:pPr>
        <w:spacing w:after="110"/>
      </w:pPr>
    </w:p>
    <w:p>
      <w:pPr>
        <w:pStyle w:val="Heading2"/>
        <w:spacing w:after="110" w:before="240"/>
      </w:pPr>
      <w:r>
        <w:rPr>
          <w:b/>
          <w:bCs/>
        </w:rPr>
        <w:t xml:space="preserve">Block 3: Open text</w:t>
      </w:r>
    </w:p>
    <w:p>
      <w:pPr>
        <w:pStyle w:val="ListParagraph"/>
        <w:numPr>
          <w:ilvl w:val="0"/>
          <w:numId w:val="3"/>
        </w:numPr>
        <w:spacing w:after="75" w:line="264"/>
      </w:pPr>
      <w:r>
        <w:rPr>
          <w:b/>
          <w:bCs/>
        </w:rPr>
        <w:t xml:space="preserve">O1: </w:t>
      </w:r>
      <w:r>
        <w:t xml:space="preserve">“Describe one specific moment today when you trusted, or distrusted, something the system told you, and why.”</w:t>
      </w:r>
    </w:p>
    <w:p>
      <w:pPr>
        <w:pStyle w:val="ListParagraph"/>
        <w:numPr>
          <w:ilvl w:val="0"/>
          <w:numId w:val="3"/>
        </w:numPr>
        <w:spacing w:after="75" w:line="264"/>
      </w:pPr>
      <w:r>
        <w:rPr>
          <w:b/>
          <w:bCs/>
        </w:rPr>
        <w:t xml:space="preserve">O2: </w:t>
      </w:r>
      <w:r>
        <w:t xml:space="preserve">“What is the single change this system most needs before you would use it with real students?”</w:t>
      </w:r>
    </w:p>
    <w:p>
      <w:pPr>
        <w:pStyle w:val="Heading1"/>
        <w:spacing w:after="140" w:before="320"/>
      </w:pPr>
      <w:r>
        <w:rPr>
          <w:b/>
          <w:bCs/>
        </w:rPr>
        <w:t xml:space="preserve">7. RQ → Data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728"/>
        <w:gridCol w:w="1944"/>
        <w:gridCol w:w="1368"/>
        <w:gridCol w:w="3384"/>
      </w:tblGrid>
      <w:tr>
        <w:trPr>
          <w:tblHeader/>
        </w:trPr>
        <w:tc>
          <w:tcPr>
            <w:tcW w:type="dxa" w:w="936"/>
            <w:shd w:fill="F2F4F7" w:val="clear"/>
            <w:tcMar>
              <w:top w:type="dxa" w:w="55"/>
              <w:left w:type="dxa" w:w="95"/>
              <w:bottom w:type="dxa" w:w="55"/>
              <w:right w:type="dxa" w:w="95"/>
            </w:tcMar>
          </w:tcPr>
          <w:p>
            <w:pPr>
              <w:spacing w:after="0" w:line="240"/>
            </w:pPr>
            <w:r>
              <w:rPr>
                <w:b/>
                <w:bCs/>
                <w:sz w:val="18"/>
                <w:szCs w:val="18"/>
              </w:rPr>
              <w:t xml:space="preserve">RQ</w:t>
            </w:r>
          </w:p>
        </w:tc>
        <w:tc>
          <w:tcPr>
            <w:tcW w:type="dxa" w:w="1728"/>
            <w:shd w:fill="F2F4F7" w:val="clear"/>
            <w:tcMar>
              <w:top w:type="dxa" w:w="55"/>
              <w:left w:type="dxa" w:w="95"/>
              <w:bottom w:type="dxa" w:w="55"/>
              <w:right w:type="dxa" w:w="95"/>
            </w:tcMar>
          </w:tcPr>
          <w:p>
            <w:pPr>
              <w:spacing w:after="0" w:line="240"/>
            </w:pPr>
            <w:r>
              <w:rPr>
                <w:b/>
                <w:bCs/>
                <w:sz w:val="18"/>
                <w:szCs w:val="18"/>
              </w:rPr>
              <w:t xml:space="preserve">Tasks</w:t>
            </w:r>
          </w:p>
        </w:tc>
        <w:tc>
          <w:tcPr>
            <w:tcW w:type="dxa" w:w="1944"/>
            <w:shd w:fill="F2F4F7" w:val="clear"/>
            <w:tcMar>
              <w:top w:type="dxa" w:w="55"/>
              <w:left w:type="dxa" w:w="95"/>
              <w:bottom w:type="dxa" w:w="55"/>
              <w:right w:type="dxa" w:w="95"/>
            </w:tcMar>
          </w:tcPr>
          <w:p>
            <w:pPr>
              <w:spacing w:after="0" w:line="240"/>
            </w:pPr>
            <w:r>
              <w:rPr>
                <w:b/>
                <w:bCs/>
                <w:sz w:val="18"/>
                <w:szCs w:val="18"/>
              </w:rPr>
              <w:t xml:space="preserve">Interview</w:t>
            </w:r>
          </w:p>
        </w:tc>
        <w:tc>
          <w:tcPr>
            <w:tcW w:type="dxa" w:w="1368"/>
            <w:shd w:fill="F2F4F7" w:val="clear"/>
            <w:tcMar>
              <w:top w:type="dxa" w:w="55"/>
              <w:left w:type="dxa" w:w="95"/>
              <w:bottom w:type="dxa" w:w="55"/>
              <w:right w:type="dxa" w:w="95"/>
            </w:tcMar>
          </w:tcPr>
          <w:p>
            <w:pPr>
              <w:spacing w:after="0" w:line="240"/>
            </w:pPr>
            <w:r>
              <w:rPr>
                <w:b/>
                <w:bCs/>
                <w:sz w:val="18"/>
                <w:szCs w:val="18"/>
              </w:rPr>
              <w:t xml:space="preserve">Survey</w:t>
            </w:r>
          </w:p>
        </w:tc>
        <w:tc>
          <w:tcPr>
            <w:tcW w:type="dxa" w:w="3384"/>
            <w:shd w:fill="F2F4F7" w:val="clear"/>
            <w:tcMar>
              <w:top w:type="dxa" w:w="55"/>
              <w:left w:type="dxa" w:w="95"/>
              <w:bottom w:type="dxa" w:w="55"/>
              <w:right w:type="dxa" w:w="95"/>
            </w:tcMar>
          </w:tcPr>
          <w:p>
            <w:pPr>
              <w:spacing w:after="0" w:line="240"/>
            </w:pPr>
            <w:r>
              <w:rPr>
                <w:b/>
                <w:bCs/>
                <w:sz w:val="18"/>
                <w:szCs w:val="18"/>
              </w:rPr>
              <w:t xml:space="preserve">Analysis output</w:t>
            </w:r>
          </w:p>
        </w:tc>
      </w:tr>
      <w:tr>
        <w:trPr>
          <w:tblHeader w:val="false"/>
        </w:trPr>
        <w:tc>
          <w:tcPr>
            <w:tcW w:type="dxa" w:w="936"/>
            <w:tcMar>
              <w:top w:type="dxa" w:w="55"/>
              <w:left w:type="dxa" w:w="95"/>
              <w:bottom w:type="dxa" w:w="55"/>
              <w:right w:type="dxa" w:w="95"/>
            </w:tcMar>
          </w:tcPr>
          <w:p>
            <w:pPr>
              <w:spacing w:after="0" w:line="240"/>
            </w:pPr>
            <w:r>
              <w:rPr>
                <w:b w:val="false"/>
                <w:bCs w:val="false"/>
                <w:sz w:val="18"/>
                <w:szCs w:val="18"/>
              </w:rPr>
              <w:t xml:space="preserve">RQ-A</w:t>
            </w:r>
          </w:p>
        </w:tc>
        <w:tc>
          <w:tcPr>
            <w:tcW w:type="dxa" w:w="1728"/>
            <w:tcMar>
              <w:top w:type="dxa" w:w="55"/>
              <w:left w:type="dxa" w:w="95"/>
              <w:bottom w:type="dxa" w:w="55"/>
              <w:right w:type="dxa" w:w="95"/>
            </w:tcMar>
          </w:tcPr>
          <w:p>
            <w:pPr>
              <w:spacing w:after="0" w:line="240"/>
            </w:pPr>
            <w:r>
              <w:rPr>
                <w:b w:val="false"/>
                <w:bCs w:val="false"/>
                <w:sz w:val="18"/>
                <w:szCs w:val="18"/>
              </w:rPr>
              <w:t xml:space="preserve">A1–A4</w:t>
            </w:r>
          </w:p>
        </w:tc>
        <w:tc>
          <w:tcPr>
            <w:tcW w:type="dxa" w:w="1944"/>
            <w:tcMar>
              <w:top w:type="dxa" w:w="55"/>
              <w:left w:type="dxa" w:w="95"/>
              <w:bottom w:type="dxa" w:w="55"/>
              <w:right w:type="dxa" w:w="95"/>
            </w:tcMar>
          </w:tcPr>
          <w:p>
            <w:pPr>
              <w:spacing w:after="0" w:line="240"/>
            </w:pPr>
            <w:r>
              <w:rPr>
                <w:b w:val="false"/>
                <w:bCs w:val="false"/>
                <w:sz w:val="18"/>
                <w:szCs w:val="18"/>
              </w:rPr>
              <w:t xml:space="preserve">Q1–Q4</w:t>
            </w:r>
          </w:p>
        </w:tc>
        <w:tc>
          <w:tcPr>
            <w:tcW w:type="dxa" w:w="1368"/>
            <w:tcMar>
              <w:top w:type="dxa" w:w="55"/>
              <w:left w:type="dxa" w:w="95"/>
              <w:bottom w:type="dxa" w:w="55"/>
              <w:right w:type="dxa" w:w="95"/>
            </w:tcMar>
          </w:tcPr>
          <w:p>
            <w:pPr>
              <w:spacing w:after="0" w:line="240"/>
            </w:pPr>
            <w:r>
              <w:rPr>
                <w:b w:val="false"/>
                <w:bCs w:val="false"/>
                <w:sz w:val="18"/>
                <w:szCs w:val="18"/>
              </w:rPr>
              <w:t xml:space="preserve">S3, S4, O2</w:t>
            </w:r>
          </w:p>
        </w:tc>
        <w:tc>
          <w:tcPr>
            <w:tcW w:type="dxa" w:w="3384"/>
            <w:tcMar>
              <w:top w:type="dxa" w:w="55"/>
              <w:left w:type="dxa" w:w="95"/>
              <w:bottom w:type="dxa" w:w="55"/>
              <w:right w:type="dxa" w:w="95"/>
            </w:tcMar>
          </w:tcPr>
          <w:p>
            <w:pPr>
              <w:spacing w:after="0" w:line="240"/>
            </w:pPr>
            <w:r>
              <w:rPr>
                <w:b w:val="false"/>
                <w:bCs w:val="false"/>
                <w:sz w:val="18"/>
                <w:szCs w:val="18"/>
              </w:rPr>
              <w:t xml:space="preserve">Constraint-authoring pattern catalog (incl. the instructions-vs-quiz expressiveness gap); verification-strategy taxonomy; instruction v1→v2 revision diffs as artifacts</w:t>
            </w:r>
          </w:p>
        </w:tc>
      </w:tr>
      <w:tr>
        <w:trPr>
          <w:tblHeader w:val="false"/>
        </w:trPr>
        <w:tc>
          <w:tcPr>
            <w:tcW w:type="dxa" w:w="936"/>
            <w:tcMar>
              <w:top w:type="dxa" w:w="55"/>
              <w:left w:type="dxa" w:w="95"/>
              <w:bottom w:type="dxa" w:w="55"/>
              <w:right w:type="dxa" w:w="95"/>
            </w:tcMar>
          </w:tcPr>
          <w:p>
            <w:pPr>
              <w:spacing w:after="0" w:line="240"/>
            </w:pPr>
            <w:r>
              <w:rPr>
                <w:b w:val="false"/>
                <w:bCs w:val="false"/>
                <w:sz w:val="18"/>
                <w:szCs w:val="18"/>
              </w:rPr>
              <w:t xml:space="preserve">RQ-B</w:t>
            </w:r>
          </w:p>
        </w:tc>
        <w:tc>
          <w:tcPr>
            <w:tcW w:type="dxa" w:w="1728"/>
            <w:tcMar>
              <w:top w:type="dxa" w:w="55"/>
              <w:left w:type="dxa" w:w="95"/>
              <w:bottom w:type="dxa" w:w="55"/>
              <w:right w:type="dxa" w:w="95"/>
            </w:tcMar>
          </w:tcPr>
          <w:p>
            <w:pPr>
              <w:spacing w:after="0" w:line="240"/>
            </w:pPr>
            <w:r>
              <w:rPr>
                <w:b w:val="false"/>
                <w:bCs w:val="false"/>
                <w:sz w:val="18"/>
                <w:szCs w:val="18"/>
              </w:rPr>
              <w:t xml:space="preserve">B1–B3 (probes), B4</w:t>
            </w:r>
          </w:p>
        </w:tc>
        <w:tc>
          <w:tcPr>
            <w:tcW w:type="dxa" w:w="1944"/>
            <w:tcMar>
              <w:top w:type="dxa" w:w="55"/>
              <w:left w:type="dxa" w:w="95"/>
              <w:bottom w:type="dxa" w:w="55"/>
              <w:right w:type="dxa" w:w="95"/>
            </w:tcMar>
          </w:tcPr>
          <w:p>
            <w:pPr>
              <w:spacing w:after="0" w:line="240"/>
            </w:pPr>
            <w:r>
              <w:rPr>
                <w:b w:val="false"/>
                <w:bCs w:val="false"/>
                <w:sz w:val="18"/>
                <w:szCs w:val="18"/>
              </w:rPr>
              <w:t xml:space="preserve">Q4–Q6, Q11–Q12</w:t>
            </w:r>
          </w:p>
        </w:tc>
        <w:tc>
          <w:tcPr>
            <w:tcW w:type="dxa" w:w="1368"/>
            <w:tcMar>
              <w:top w:type="dxa" w:w="55"/>
              <w:left w:type="dxa" w:w="95"/>
              <w:bottom w:type="dxa" w:w="55"/>
              <w:right w:type="dxa" w:w="95"/>
            </w:tcMar>
          </w:tcPr>
          <w:p>
            <w:pPr>
              <w:spacing w:after="0" w:line="240"/>
            </w:pPr>
            <w:r>
              <w:rPr>
                <w:b w:val="false"/>
                <w:bCs w:val="false"/>
                <w:sz w:val="18"/>
                <w:szCs w:val="18"/>
              </w:rPr>
              <w:t xml:space="preserve">S1, S2, O1</w:t>
            </w:r>
          </w:p>
        </w:tc>
        <w:tc>
          <w:tcPr>
            <w:tcW w:type="dxa" w:w="3384"/>
            <w:tcMar>
              <w:top w:type="dxa" w:w="55"/>
              <w:left w:type="dxa" w:w="95"/>
              <w:bottom w:type="dxa" w:w="55"/>
              <w:right w:type="dxa" w:w="95"/>
            </w:tcMar>
          </w:tcPr>
          <w:p>
            <w:pPr>
              <w:spacing w:after="0" w:line="240"/>
            </w:pPr>
            <w:r>
              <w:rPr>
                <w:b w:val="false"/>
                <w:bCs w:val="false"/>
                <w:sz w:val="18"/>
                <w:szCs w:val="18"/>
              </w:rPr>
              <w:t xml:space="preserve">Per-probe reliance matrix (noticed / verified / propagated, 3×N); analytics verification-strategy taxonomy; calibration cross-read of self-report vs observed behavior</w:t>
            </w:r>
          </w:p>
        </w:tc>
      </w:tr>
      <w:tr>
        <w:trPr>
          <w:tblHeader w:val="false"/>
        </w:trPr>
        <w:tc>
          <w:tcPr>
            <w:tcW w:type="dxa" w:w="936"/>
            <w:tcMar>
              <w:top w:type="dxa" w:w="55"/>
              <w:left w:type="dxa" w:w="95"/>
              <w:bottom w:type="dxa" w:w="55"/>
              <w:right w:type="dxa" w:w="95"/>
            </w:tcMar>
          </w:tcPr>
          <w:p>
            <w:pPr>
              <w:spacing w:after="0" w:line="240"/>
            </w:pPr>
            <w:r>
              <w:rPr>
                <w:b w:val="false"/>
                <w:bCs w:val="false"/>
                <w:sz w:val="18"/>
                <w:szCs w:val="18"/>
              </w:rPr>
              <w:t xml:space="preserve">RQ-C</w:t>
            </w:r>
          </w:p>
        </w:tc>
        <w:tc>
          <w:tcPr>
            <w:tcW w:type="dxa" w:w="1728"/>
            <w:tcMar>
              <w:top w:type="dxa" w:w="55"/>
              <w:left w:type="dxa" w:w="95"/>
              <w:bottom w:type="dxa" w:w="55"/>
              <w:right w:type="dxa" w:w="95"/>
            </w:tcMar>
          </w:tcPr>
          <w:p>
            <w:pPr>
              <w:spacing w:after="0" w:line="240"/>
            </w:pPr>
            <w:r>
              <w:rPr>
                <w:b w:val="false"/>
                <w:bCs w:val="false"/>
                <w:sz w:val="18"/>
                <w:szCs w:val="18"/>
              </w:rPr>
              <w:t xml:space="preserve">B4, B5, B2 tier language</w:t>
            </w:r>
          </w:p>
        </w:tc>
        <w:tc>
          <w:tcPr>
            <w:tcW w:type="dxa" w:w="1944"/>
            <w:tcMar>
              <w:top w:type="dxa" w:w="55"/>
              <w:left w:type="dxa" w:w="95"/>
              <w:bottom w:type="dxa" w:w="55"/>
              <w:right w:type="dxa" w:w="95"/>
            </w:tcMar>
          </w:tcPr>
          <w:p>
            <w:pPr>
              <w:spacing w:after="0" w:line="240"/>
            </w:pPr>
            <w:r>
              <w:rPr>
                <w:b w:val="false"/>
                <w:bCs w:val="false"/>
                <w:sz w:val="18"/>
                <w:szCs w:val="18"/>
              </w:rPr>
              <w:t xml:space="preserve">Q7–Q9</w:t>
            </w:r>
          </w:p>
        </w:tc>
        <w:tc>
          <w:tcPr>
            <w:tcW w:type="dxa" w:w="1368"/>
            <w:tcMar>
              <w:top w:type="dxa" w:w="55"/>
              <w:left w:type="dxa" w:w="95"/>
              <w:bottom w:type="dxa" w:w="55"/>
              <w:right w:type="dxa" w:w="95"/>
            </w:tcMar>
          </w:tcPr>
          <w:p>
            <w:pPr>
              <w:spacing w:after="0" w:line="240"/>
            </w:pPr>
            <w:r>
              <w:rPr>
                <w:b w:val="false"/>
                <w:bCs w:val="false"/>
                <w:sz w:val="18"/>
                <w:szCs w:val="18"/>
              </w:rPr>
              <w:t xml:space="preserve">S5, O1</w:t>
            </w:r>
          </w:p>
        </w:tc>
        <w:tc>
          <w:tcPr>
            <w:tcW w:type="dxa" w:w="3384"/>
            <w:tcMar>
              <w:top w:type="dxa" w:w="55"/>
              <w:left w:type="dxa" w:w="95"/>
              <w:bottom w:type="dxa" w:w="55"/>
              <w:right w:type="dxa" w:w="95"/>
            </w:tcMar>
          </w:tcPr>
          <w:p>
            <w:pPr>
              <w:spacing w:after="0" w:line="240"/>
            </w:pPr>
            <w:r>
              <w:rPr>
                <w:b w:val="false"/>
                <w:bCs w:val="false"/>
                <w:sz w:val="18"/>
                <w:szCs w:val="18"/>
              </w:rPr>
              <w:t xml:space="preserve">Tension typology (visibility, disclosure, tier stigma, institutional gaze) grounded in behavioral disclosure decisions</w:t>
            </w:r>
          </w:p>
        </w:tc>
      </w:tr>
    </w:tbl>
    <w:p>
      <w:pPr>
        <w:spacing w:after="110"/>
      </w:pPr>
    </w:p>
    <w:p>
      <w:pPr>
        <w:pStyle w:val="Heading1"/>
        <w:spacing w:after="140" w:before="320"/>
      </w:pPr>
      <w:r>
        <w:rPr>
          <w:b/>
          <w:bCs/>
        </w:rPr>
        <w:t xml:space="preserve">8. Implementation Prep (engineering, before first session)</w:t>
      </w:r>
    </w:p>
    <w:p>
      <w:pPr>
        <w:spacing w:after="110" w:line="268"/>
      </w:pPr>
      <w:r>
        <w:t xml:space="preserve">All probe code ships behind a study env flag on the IITL backend, enabled only for the study window and removed after. Estimated total: about 40 lines plus one data-seeding script.</w:t>
      </w:r>
    </w:p>
    <w:p>
      <w:pPr>
        <w:pStyle w:val="ListParagraph"/>
        <w:numPr>
          <w:ilvl w:val="0"/>
          <w:numId w:val="2"/>
        </w:numPr>
        <w:spacing w:after="75" w:line="264"/>
      </w:pPr>
      <w:r>
        <w:rPr>
          <w:b/>
          <w:bCs/>
        </w:rPr>
        <w:t xml:space="preserve">Seed 'Maya R.' </w:t>
      </w:r>
      <w:r>
        <w:t xml:space="preserve">into the demo course with the verified profile (one touched topic; attempts 95×7 then 58; enrollment and earliest activity backdated at least 8 days; all other topics untouched). Acceptance check: watchlist row shows Critical ≈ 75 with 'avg 90.4%' visible and flags no-engagement / low-pass-rate / stuck-topic.</w:t>
      </w:r>
    </w:p>
    <w:p>
      <w:pPr>
        <w:pStyle w:val="ListParagraph"/>
        <w:numPr>
          <w:ilvl w:val="0"/>
          <w:numId w:val="2"/>
        </w:numPr>
        <w:spacing w:after="75" w:line="264"/>
      </w:pPr>
      <w:r>
        <w:rPr>
          <w:b/>
          <w:bCs/>
        </w:rPr>
        <w:t xml:space="preserve">Insights Assistant hook </w:t>
      </w:r>
      <w:r>
        <w:t xml:space="preserve">(roughly 8–12 lines in the instructor-chat route): for the probe course + weakest/struggle/lowest/reteach queries, return the canned 'Methods, 63%' reply instead of calling the agent; persist the exchange as usual.</w:t>
      </w:r>
    </w:p>
    <w:p>
      <w:pPr>
        <w:pStyle w:val="ListParagraph"/>
        <w:numPr>
          <w:ilvl w:val="0"/>
          <w:numId w:val="2"/>
        </w:numPr>
        <w:spacing w:after="75" w:line="264"/>
      </w:pPr>
      <w:r>
        <w:rPr>
          <w:b/>
          <w:bCs/>
        </w:rPr>
        <w:t xml:space="preserve">Briefing hook </w:t>
      </w:r>
      <w:r>
        <w:t xml:space="preserve">(roughly 5–8 lines in the briefing route, after generation): append the canned overgeneralization sentence, gated on the study instructor's account (the briefing is cross-course; there is no per-course parameter).</w:t>
      </w:r>
    </w:p>
    <w:p>
      <w:pPr>
        <w:pStyle w:val="ListParagraph"/>
        <w:numPr>
          <w:ilvl w:val="0"/>
          <w:numId w:val="2"/>
        </w:numPr>
        <w:spacing w:after="75" w:line="264"/>
      </w:pPr>
      <w:r>
        <w:rPr>
          <w:b/>
          <w:bCs/>
        </w:rPr>
        <w:t xml:space="preserve">Sandbox student account </w:t>
      </w:r>
      <w:r>
        <w:t xml:space="preserve">created; login card printed; second browser profile prepared on the session machine.</w:t>
      </w:r>
    </w:p>
    <w:p>
      <w:pPr>
        <w:pStyle w:val="ListParagraph"/>
        <w:numPr>
          <w:ilvl w:val="0"/>
          <w:numId w:val="2"/>
        </w:numPr>
        <w:spacing w:after="75" w:line="264"/>
      </w:pPr>
      <w:r>
        <w:rPr>
          <w:b/>
          <w:bCs/>
        </w:rPr>
        <w:t xml:space="preserve">Sandbox course template: </w:t>
      </w:r>
      <w:r>
        <w:t xml:space="preserve">generic intro-programming syllabus + generated draft topics, cloneable per participant; participant-supplied syllabi loaded in advance when provided.</w:t>
      </w:r>
    </w:p>
    <w:p>
      <w:pPr>
        <w:pStyle w:val="ListParagraph"/>
        <w:numPr>
          <w:ilvl w:val="0"/>
          <w:numId w:val="2"/>
        </w:numPr>
        <w:spacing w:after="75" w:line="264"/>
      </w:pPr>
      <w:r>
        <w:rPr>
          <w:b/>
          <w:bCs/>
        </w:rPr>
        <w:t xml:space="preserve">Reset checklist: </w:t>
      </w:r>
      <w:r>
        <w:t xml:space="preserve">clear demo-course assistant chat; restore Maya's data if modified; archive prior participants' sandbox courses.</w:t>
      </w:r>
    </w:p>
    <w:p>
      <w:pPr>
        <w:pStyle w:val="Heading1"/>
        <w:spacing w:after="140" w:before="320"/>
      </w:pPr>
      <w:r>
        <w:rPr>
          <w:b/>
          <w:bCs/>
        </w:rPr>
        <w:t xml:space="preserve">9. Recruitment, Ethics, Analysis, Timeline</w:t>
      </w:r>
    </w:p>
    <w:p>
      <w:pPr>
        <w:pStyle w:val="Heading2"/>
        <w:spacing w:after="110" w:before="240"/>
      </w:pPr>
      <w:r>
        <w:rPr>
          <w:b/>
          <w:bCs/>
        </w:rPr>
        <w:t xml:space="preserve">Participants (N = 10–14)</w:t>
      </w:r>
    </w:p>
    <w:p>
      <w:pPr>
        <w:pStyle w:val="ListParagraph"/>
        <w:numPr>
          <w:ilvl w:val="0"/>
          <w:numId w:val="3"/>
        </w:numPr>
        <w:spacing w:after="75" w:line="264"/>
      </w:pPr>
      <w:r>
        <w:rPr>
          <w:b/>
          <w:bCs/>
        </w:rPr>
        <w:t xml:space="preserve">Core (Kean, n = 6–8): </w:t>
      </w:r>
      <w:r>
        <w:t xml:space="preserve">CS/IT faculty teaching intro programming; department listserv + PI email. Sessions run by the student researcher, not the PI. Exclusion: supervisory relationship with the student researcher.</w:t>
      </w:r>
    </w:p>
    <w:p>
      <w:pPr>
        <w:pStyle w:val="ListParagraph"/>
        <w:numPr>
          <w:ilvl w:val="0"/>
          <w:numId w:val="3"/>
        </w:numPr>
        <w:spacing w:after="75" w:line="264"/>
      </w:pPr>
      <w:r>
        <w:rPr>
          <w:b/>
          <w:bCs/>
        </w:rPr>
        <w:t xml:space="preserve">External (n = 4–6): </w:t>
      </w:r>
      <w:r>
        <w:t xml:space="preserve">intro-programming instructors elsewhere; adjuncts and lecturers explicitly welcome. SIGCSE listserv + snowball; remote via Teams with participant screen control.</w:t>
      </w:r>
    </w:p>
    <w:p>
      <w:pPr>
        <w:pStyle w:val="ListParagraph"/>
        <w:numPr>
          <w:ilvl w:val="0"/>
          <w:numId w:val="3"/>
        </w:numPr>
        <w:spacing w:after="75" w:line="264"/>
      </w:pPr>
      <w:r>
        <w:rPr>
          <w:b/>
          <w:bCs/>
        </w:rPr>
        <w:t xml:space="preserve">Incentive: </w:t>
      </w:r>
      <w:r>
        <w:t xml:space="preserve">$50 gift card. Stop between 12 and 14 on saturation.</w:t>
      </w:r>
    </w:p>
    <w:p>
      <w:pPr>
        <w:pStyle w:val="Heading2"/>
        <w:spacing w:after="110" w:before="240"/>
      </w:pPr>
      <w:r>
        <w:rPr>
          <w:b/>
          <w:bCs/>
        </w:rPr>
        <w:t xml:space="preserve">IRB (IRB-FY2026-340, under review; updates fold into the pending revision)</w:t>
      </w:r>
    </w:p>
    <w:p>
      <w:pPr>
        <w:pStyle w:val="ListParagraph"/>
        <w:numPr>
          <w:ilvl w:val="0"/>
          <w:numId w:val="2"/>
        </w:numPr>
        <w:spacing w:after="75" w:line="264"/>
      </w:pPr>
      <w:r>
        <w:t xml:space="preserve">Consent adds one sentence: 'Some aspects of the system's behavior will not be fully described until after the session.' (Deception permitted under XM3 with prospective agreement; scripted debrief + post-debrief data-withdrawal right added.)</w:t>
      </w:r>
    </w:p>
    <w:p>
      <w:pPr>
        <w:pStyle w:val="ListParagraph"/>
        <w:numPr>
          <w:ilvl w:val="0"/>
          <w:numId w:val="2"/>
        </w:numPr>
        <w:spacing w:after="75" w:line="264"/>
      </w:pPr>
      <w:r>
        <w:t xml:space="preserve">Procedures add 2–3 sentences describing the authoring task (new activity and data type: instructor-authored teaching artifacts, with an end-of-session keep-or-delete decision).</w:t>
      </w:r>
    </w:p>
    <w:p>
      <w:pPr>
        <w:pStyle w:val="ListParagraph"/>
        <w:numPr>
          <w:ilvl w:val="0"/>
          <w:numId w:val="2"/>
        </w:numPr>
        <w:spacing w:after="75" w:line="264"/>
      </w:pPr>
      <w:r>
        <w:t xml:space="preserve">Replace the interview script and survey attachments with the versions in this document; update study dates and N.</w:t>
      </w:r>
    </w:p>
    <w:p>
      <w:pPr>
        <w:pStyle w:val="Heading2"/>
        <w:spacing w:after="110" w:before="240"/>
      </w:pPr>
      <w:r>
        <w:rPr>
          <w:b/>
          <w:bCs/>
        </w:rPr>
        <w:t xml:space="preserve">Analysis</w:t>
      </w:r>
    </w:p>
    <w:p>
      <w:pPr>
        <w:pStyle w:val="ListParagraph"/>
        <w:numPr>
          <w:ilvl w:val="0"/>
          <w:numId w:val="3"/>
        </w:numPr>
        <w:spacing w:after="75" w:line="264"/>
      </w:pPr>
      <w:r>
        <w:rPr>
          <w:b/>
          <w:bCs/>
        </w:rPr>
        <w:t xml:space="preserve">Rolling pipeline: </w:t>
      </w:r>
      <w:r>
        <w:t xml:space="preserve">same-day transcription via local Whisper (on-device; audio never leaves the study machine); familiarization memo within 48 hours of each session.</w:t>
      </w:r>
    </w:p>
    <w:p>
      <w:pPr>
        <w:pStyle w:val="ListParagraph"/>
        <w:numPr>
          <w:ilvl w:val="0"/>
          <w:numId w:val="3"/>
        </w:numPr>
        <w:spacing w:after="75" w:line="264"/>
      </w:pPr>
      <w:r>
        <w:rPr>
          <w:b/>
          <w:bCs/>
        </w:rPr>
        <w:t xml:space="preserve">LLM assistance (disclosed, bounded): </w:t>
      </w:r>
      <w:r>
        <w:t xml:space="preserve">transcript cleanup and per-transcript familiarization summaries read against the raw transcript, never instead of it. No LLM proposes codes, assigns codes, or writes themes.</w:t>
      </w:r>
    </w:p>
    <w:p>
      <w:pPr>
        <w:pStyle w:val="ListParagraph"/>
        <w:numPr>
          <w:ilvl w:val="0"/>
          <w:numId w:val="3"/>
        </w:numPr>
        <w:spacing w:after="75" w:line="264"/>
      </w:pPr>
      <w:r>
        <w:rPr>
          <w:b/>
          <w:bCs/>
        </w:rPr>
        <w:t xml:space="preserve">Coding: </w:t>
      </w:r>
      <w:r>
        <w:t xml:space="preserve">reflexive thematic analysis (Braun &amp; Clarke). Student researcher codes all data; PI reads 100% of transcripts and reviews the codebook at checkpoints (reflexive review, not IRR; rationale reported). Codebook v1 after session 3; revisions after 6 and 10; saturation checkpoint at 10.</w:t>
      </w:r>
    </w:p>
    <w:p>
      <w:pPr>
        <w:pStyle w:val="ListParagraph"/>
        <w:numPr>
          <w:ilvl w:val="0"/>
          <w:numId w:val="3"/>
        </w:numPr>
        <w:spacing w:after="75" w:line="264"/>
      </w:pPr>
      <w:r>
        <w:rPr>
          <w:b/>
          <w:bCs/>
        </w:rPr>
        <w:t xml:space="preserve">Probe analysis (deductive, parallel): </w:t>
      </w:r>
      <w:r>
        <w:t xml:space="preserve">each participant × probe classified noticed / verified / propagated (3×N matrix); Q11–Q12 coded for post-hoc rationalization vs genuine detection.</w:t>
      </w:r>
    </w:p>
    <w:p>
      <w:pPr>
        <w:pStyle w:val="ListParagraph"/>
        <w:numPr>
          <w:ilvl w:val="0"/>
          <w:numId w:val="3"/>
        </w:numPr>
        <w:spacing w:after="75" w:line="264"/>
      </w:pPr>
      <w:r>
        <w:rPr>
          <w:b/>
          <w:bCs/>
        </w:rPr>
        <w:t xml:space="preserve">Integration: </w:t>
      </w:r>
      <w:r>
        <w:t xml:space="preserve">think-aloud = behavior; interview = reasoning; survey = self-report. Triangulation is explicitly disconfirmatory (e.g., 'would not act without checking' on S1 + propagated probes = miscalibration finding). Part A revision diffs coded alongside talk.</w:t>
      </w:r>
    </w:p>
    <w:p>
      <w:pPr>
        <w:pStyle w:val="Heading2"/>
        <w:spacing w:after="110" w:before="240"/>
      </w:pPr>
      <w:r>
        <w:rPr>
          <w:b/>
          <w:bCs/>
        </w:rPr>
        <w:t xml:space="preserve">Timeline (from July 29,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44"/>
        <w:gridCol w:w="7416"/>
      </w:tblGrid>
      <w:tr>
        <w:trPr>
          <w:tblHeader/>
        </w:trPr>
        <w:tc>
          <w:tcPr>
            <w:tcW w:type="dxa" w:w="1944"/>
            <w:shd w:fill="F2F4F7" w:val="clear"/>
            <w:tcMar>
              <w:top w:type="dxa" w:w="55"/>
              <w:left w:type="dxa" w:w="95"/>
              <w:bottom w:type="dxa" w:w="55"/>
              <w:right w:type="dxa" w:w="95"/>
            </w:tcMar>
          </w:tcPr>
          <w:p>
            <w:pPr>
              <w:spacing w:after="0" w:line="240"/>
            </w:pPr>
            <w:r>
              <w:rPr>
                <w:b/>
                <w:bCs/>
                <w:sz w:val="18"/>
                <w:szCs w:val="18"/>
              </w:rPr>
              <w:t xml:space="preserve">Week of</w:t>
            </w:r>
          </w:p>
        </w:tc>
        <w:tc>
          <w:tcPr>
            <w:tcW w:type="dxa" w:w="7416"/>
            <w:shd w:fill="F2F4F7" w:val="clear"/>
            <w:tcMar>
              <w:top w:type="dxa" w:w="55"/>
              <w:left w:type="dxa" w:w="95"/>
              <w:bottom w:type="dxa" w:w="55"/>
              <w:right w:type="dxa" w:w="95"/>
            </w:tcMar>
          </w:tcPr>
          <w:p>
            <w:pPr>
              <w:spacing w:after="0" w:line="240"/>
            </w:pPr>
            <w:r>
              <w:rPr>
                <w:b/>
                <w:bCs/>
                <w:sz w:val="18"/>
                <w:szCs w:val="18"/>
              </w:rPr>
              <w:t xml:space="preserve">Milestone</w:t>
            </w:r>
          </w:p>
        </w:tc>
      </w:tr>
      <w:tr>
        <w:trPr>
          <w:tblHeader w:val="false"/>
        </w:trPr>
        <w:tc>
          <w:tcPr>
            <w:tcW w:type="dxa" w:w="1944"/>
            <w:tcMar>
              <w:top w:type="dxa" w:w="55"/>
              <w:left w:type="dxa" w:w="95"/>
              <w:bottom w:type="dxa" w:w="55"/>
              <w:right w:type="dxa" w:w="95"/>
            </w:tcMar>
          </w:tcPr>
          <w:p>
            <w:pPr>
              <w:spacing w:after="0" w:line="240"/>
            </w:pPr>
            <w:r>
              <w:rPr>
                <w:b w:val="false"/>
                <w:bCs w:val="false"/>
                <w:sz w:val="18"/>
                <w:szCs w:val="18"/>
              </w:rPr>
              <w:t xml:space="preserve">Aug 3</w:t>
            </w:r>
          </w:p>
        </w:tc>
        <w:tc>
          <w:tcPr>
            <w:tcW w:type="dxa" w:w="7416"/>
            <w:tcMar>
              <w:top w:type="dxa" w:w="55"/>
              <w:left w:type="dxa" w:w="95"/>
              <w:bottom w:type="dxa" w:w="55"/>
              <w:right w:type="dxa" w:w="95"/>
            </w:tcMar>
          </w:tcPr>
          <w:p>
            <w:pPr>
              <w:spacing w:after="0" w:line="240"/>
            </w:pPr>
            <w:r>
              <w:rPr>
                <w:b w:val="false"/>
                <w:bCs w:val="false"/>
                <w:sz w:val="18"/>
                <w:szCs w:val="18"/>
              </w:rPr>
              <w:t xml:space="preserve">IRB revision submitted (this document is the substrate). Probe hooks implemented + tested; Maya seeded; sandbox accounts ready. Session script piloted once internally. Qualtrics built.</w:t>
            </w:r>
          </w:p>
        </w:tc>
      </w:tr>
      <w:tr>
        <w:trPr>
          <w:tblHeader w:val="false"/>
        </w:trPr>
        <w:tc>
          <w:tcPr>
            <w:tcW w:type="dxa" w:w="1944"/>
            <w:tcMar>
              <w:top w:type="dxa" w:w="55"/>
              <w:left w:type="dxa" w:w="95"/>
              <w:bottom w:type="dxa" w:w="55"/>
              <w:right w:type="dxa" w:w="95"/>
            </w:tcMar>
          </w:tcPr>
          <w:p>
            <w:pPr>
              <w:spacing w:after="0" w:line="240"/>
            </w:pPr>
            <w:r>
              <w:rPr>
                <w:b w:val="false"/>
                <w:bCs w:val="false"/>
                <w:sz w:val="18"/>
                <w:szCs w:val="18"/>
              </w:rPr>
              <w:t xml:space="preserve">Aug 10</w:t>
            </w:r>
          </w:p>
        </w:tc>
        <w:tc>
          <w:tcPr>
            <w:tcW w:type="dxa" w:w="7416"/>
            <w:tcMar>
              <w:top w:type="dxa" w:w="55"/>
              <w:left w:type="dxa" w:w="95"/>
              <w:bottom w:type="dxa" w:w="55"/>
              <w:right w:type="dxa" w:w="95"/>
            </w:tcMar>
          </w:tcPr>
          <w:p>
            <w:pPr>
              <w:spacing w:after="0" w:line="240"/>
            </w:pPr>
            <w:r>
              <w:rPr>
                <w:b w:val="false"/>
                <w:bCs w:val="false"/>
                <w:sz w:val="18"/>
                <w:szCs w:val="18"/>
              </w:rPr>
              <w:t xml:space="preserve">IRB clearance assumed (single biggest schedule risk). Recruitment out same day. Sessions 1–3. Codebook v1 after session 3.</w:t>
            </w:r>
          </w:p>
        </w:tc>
      </w:tr>
      <w:tr>
        <w:trPr>
          <w:tblHeader w:val="false"/>
        </w:trPr>
        <w:tc>
          <w:tcPr>
            <w:tcW w:type="dxa" w:w="1944"/>
            <w:tcMar>
              <w:top w:type="dxa" w:w="55"/>
              <w:left w:type="dxa" w:w="95"/>
              <w:bottom w:type="dxa" w:w="55"/>
              <w:right w:type="dxa" w:w="95"/>
            </w:tcMar>
          </w:tcPr>
          <w:p>
            <w:pPr>
              <w:spacing w:after="0" w:line="240"/>
            </w:pPr>
            <w:r>
              <w:rPr>
                <w:b w:val="false"/>
                <w:bCs w:val="false"/>
                <w:sz w:val="18"/>
                <w:szCs w:val="18"/>
              </w:rPr>
              <w:t xml:space="preserve">Aug 17</w:t>
            </w:r>
          </w:p>
        </w:tc>
        <w:tc>
          <w:tcPr>
            <w:tcW w:type="dxa" w:w="7416"/>
            <w:tcMar>
              <w:top w:type="dxa" w:w="55"/>
              <w:left w:type="dxa" w:w="95"/>
              <w:bottom w:type="dxa" w:w="55"/>
              <w:right w:type="dxa" w:w="95"/>
            </w:tcMar>
          </w:tcPr>
          <w:p>
            <w:pPr>
              <w:spacing w:after="0" w:line="240"/>
            </w:pPr>
            <w:r>
              <w:rPr>
                <w:b w:val="false"/>
                <w:bCs w:val="false"/>
                <w:sz w:val="18"/>
                <w:szCs w:val="18"/>
              </w:rPr>
              <w:t xml:space="preserve">Sessions 4–7 (first externals). Codebook v2.</w:t>
            </w:r>
          </w:p>
        </w:tc>
      </w:tr>
      <w:tr>
        <w:trPr>
          <w:tblHeader w:val="false"/>
        </w:trPr>
        <w:tc>
          <w:tcPr>
            <w:tcW w:type="dxa" w:w="1944"/>
            <w:tcMar>
              <w:top w:type="dxa" w:w="55"/>
              <w:left w:type="dxa" w:w="95"/>
              <w:bottom w:type="dxa" w:w="55"/>
              <w:right w:type="dxa" w:w="95"/>
            </w:tcMar>
          </w:tcPr>
          <w:p>
            <w:pPr>
              <w:spacing w:after="0" w:line="240"/>
            </w:pPr>
            <w:r>
              <w:rPr>
                <w:b w:val="false"/>
                <w:bCs w:val="false"/>
                <w:sz w:val="18"/>
                <w:szCs w:val="18"/>
              </w:rPr>
              <w:t xml:space="preserve">Aug 24</w:t>
            </w:r>
          </w:p>
        </w:tc>
        <w:tc>
          <w:tcPr>
            <w:tcW w:type="dxa" w:w="7416"/>
            <w:tcMar>
              <w:top w:type="dxa" w:w="55"/>
              <w:left w:type="dxa" w:w="95"/>
              <w:bottom w:type="dxa" w:w="55"/>
              <w:right w:type="dxa" w:w="95"/>
            </w:tcMar>
          </w:tcPr>
          <w:p>
            <w:pPr>
              <w:spacing w:after="0" w:line="240"/>
            </w:pPr>
            <w:r>
              <w:rPr>
                <w:b w:val="false"/>
                <w:bCs w:val="false"/>
                <w:sz w:val="18"/>
                <w:szCs w:val="18"/>
              </w:rPr>
              <w:t xml:space="preserve">Sessions 8–10. Theme development on partial corpus; methods drafted.</w:t>
            </w:r>
          </w:p>
        </w:tc>
      </w:tr>
      <w:tr>
        <w:trPr>
          <w:tblHeader w:val="false"/>
        </w:trPr>
        <w:tc>
          <w:tcPr>
            <w:tcW w:type="dxa" w:w="1944"/>
            <w:tcMar>
              <w:top w:type="dxa" w:w="55"/>
              <w:left w:type="dxa" w:w="95"/>
              <w:bottom w:type="dxa" w:w="55"/>
              <w:right w:type="dxa" w:w="95"/>
            </w:tcMar>
          </w:tcPr>
          <w:p>
            <w:pPr>
              <w:spacing w:after="0" w:line="240"/>
            </w:pPr>
            <w:r>
              <w:rPr>
                <w:b w:val="false"/>
                <w:bCs w:val="false"/>
                <w:sz w:val="18"/>
                <w:szCs w:val="18"/>
              </w:rPr>
              <w:t xml:space="preserve">Aug 31</w:t>
            </w:r>
          </w:p>
        </w:tc>
        <w:tc>
          <w:tcPr>
            <w:tcW w:type="dxa" w:w="7416"/>
            <w:tcMar>
              <w:top w:type="dxa" w:w="55"/>
              <w:left w:type="dxa" w:w="95"/>
              <w:bottom w:type="dxa" w:w="55"/>
              <w:right w:type="dxa" w:w="95"/>
            </w:tcMar>
          </w:tcPr>
          <w:p>
            <w:pPr>
              <w:spacing w:after="0" w:line="240"/>
            </w:pPr>
            <w:r>
              <w:rPr>
                <w:b w:val="false"/>
                <w:bCs w:val="false"/>
                <w:sz w:val="18"/>
                <w:szCs w:val="18"/>
              </w:rPr>
              <w:t xml:space="preserve">Sessions 11–12 if needed. Probe matrix complete for N ≥ 10. Findings drafted.</w:t>
            </w:r>
          </w:p>
        </w:tc>
      </w:tr>
      <w:tr>
        <w:trPr>
          <w:tblHeader w:val="false"/>
        </w:trPr>
        <w:tc>
          <w:tcPr>
            <w:tcW w:type="dxa" w:w="1944"/>
            <w:tcMar>
              <w:top w:type="dxa" w:w="55"/>
              <w:left w:type="dxa" w:w="95"/>
              <w:bottom w:type="dxa" w:w="55"/>
              <w:right w:type="dxa" w:w="95"/>
            </w:tcMar>
          </w:tcPr>
          <w:p>
            <w:pPr>
              <w:spacing w:after="0" w:line="240"/>
            </w:pPr>
            <w:r>
              <w:rPr>
                <w:b w:val="false"/>
                <w:bCs w:val="false"/>
                <w:sz w:val="18"/>
                <w:szCs w:val="18"/>
              </w:rPr>
              <w:t xml:space="preserve">Sep 4–11</w:t>
            </w:r>
          </w:p>
        </w:tc>
        <w:tc>
          <w:tcPr>
            <w:tcW w:type="dxa" w:w="7416"/>
            <w:tcMar>
              <w:top w:type="dxa" w:w="55"/>
              <w:left w:type="dxa" w:w="95"/>
              <w:bottom w:type="dxa" w:w="55"/>
              <w:right w:type="dxa" w:w="95"/>
            </w:tcMar>
          </w:tcPr>
          <w:p>
            <w:pPr>
              <w:spacing w:after="0" w:line="240"/>
            </w:pPr>
            <w:r>
              <w:rPr>
                <w:b w:val="false"/>
                <w:bCs w:val="false"/>
                <w:sz w:val="18"/>
                <w:szCs w:val="18"/>
              </w:rPr>
              <w:t xml:space="preserve">CHI 2027 submission: N = 10–12, themes developed (not exhaustively saturated), honestly reported.</w:t>
            </w:r>
          </w:p>
        </w:tc>
      </w:tr>
      <w:tr>
        <w:trPr>
          <w:tblHeader w:val="false"/>
        </w:trPr>
        <w:tc>
          <w:tcPr>
            <w:tcW w:type="dxa" w:w="1944"/>
            <w:tcMar>
              <w:top w:type="dxa" w:w="55"/>
              <w:left w:type="dxa" w:w="95"/>
              <w:bottom w:type="dxa" w:w="55"/>
              <w:right w:type="dxa" w:w="95"/>
            </w:tcMar>
          </w:tcPr>
          <w:p>
            <w:pPr>
              <w:spacing w:after="0" w:line="240"/>
            </w:pPr>
            <w:r>
              <w:rPr>
                <w:b w:val="false"/>
                <w:bCs w:val="false"/>
                <w:sz w:val="18"/>
                <w:szCs w:val="18"/>
              </w:rPr>
              <w:t xml:space="preserve">Sep–Oct</w:t>
            </w:r>
          </w:p>
        </w:tc>
        <w:tc>
          <w:tcPr>
            <w:tcW w:type="dxa" w:w="7416"/>
            <w:tcMar>
              <w:top w:type="dxa" w:w="55"/>
              <w:left w:type="dxa" w:w="95"/>
              <w:bottom w:type="dxa" w:w="55"/>
              <w:right w:type="dxa" w:w="95"/>
            </w:tcMar>
          </w:tcPr>
          <w:p>
            <w:pPr>
              <w:spacing w:after="0" w:line="240"/>
            </w:pPr>
            <w:r>
              <w:rPr>
                <w:b w:val="false"/>
                <w:bCs w:val="false"/>
                <w:sz w:val="18"/>
                <w:szCs w:val="18"/>
              </w:rPr>
              <w:t xml:space="preserve">Sessions 13–14 (external stragglers); full-corpus refinement.</w:t>
            </w:r>
          </w:p>
        </w:tc>
      </w:tr>
      <w:tr>
        <w:trPr>
          <w:tblHeader w:val="false"/>
        </w:trPr>
        <w:tc>
          <w:tcPr>
            <w:tcW w:type="dxa" w:w="1944"/>
            <w:tcMar>
              <w:top w:type="dxa" w:w="55"/>
              <w:left w:type="dxa" w:w="95"/>
              <w:bottom w:type="dxa" w:w="55"/>
              <w:right w:type="dxa" w:w="95"/>
            </w:tcMar>
          </w:tcPr>
          <w:p>
            <w:pPr>
              <w:spacing w:after="0" w:line="240"/>
            </w:pPr>
            <w:r>
              <w:rPr>
                <w:b w:val="false"/>
                <w:bCs w:val="false"/>
                <w:sz w:val="18"/>
                <w:szCs w:val="18"/>
              </w:rPr>
              <w:t xml:space="preserve">~Oct</w:t>
            </w:r>
          </w:p>
        </w:tc>
        <w:tc>
          <w:tcPr>
            <w:tcW w:type="dxa" w:w="7416"/>
            <w:tcMar>
              <w:top w:type="dxa" w:w="55"/>
              <w:left w:type="dxa" w:w="95"/>
              <w:bottom w:type="dxa" w:w="55"/>
              <w:right w:type="dxa" w:w="95"/>
            </w:tcMar>
          </w:tcPr>
          <w:p>
            <w:pPr>
              <w:spacing w:after="0" w:line="240"/>
            </w:pPr>
            <w:r>
              <w:rPr>
                <w:b w:val="false"/>
                <w:bCs w:val="false"/>
                <w:sz w:val="18"/>
                <w:szCs w:val="18"/>
              </w:rPr>
              <w:t xml:space="preserve">LAK 2027 submission: full N, complete saturation, matured probe analysis.</w:t>
            </w:r>
          </w:p>
        </w:tc>
      </w:tr>
    </w:tbl>
    <w:p>
      <w:pPr>
        <w:spacing w:after="110"/>
      </w:pPr>
    </w:p>
    <w:p>
      <w:pPr>
        <w:spacing w:after="110" w:line="268"/>
      </w:pPr>
      <w:r>
        <w:rPr>
          <w:b/>
          <w:bCs/>
        </w:rPr>
        <w:t xml:space="preserve">Go/no-go: </w:t>
      </w:r>
      <w:r>
        <w:t xml:space="preserve">if IRB clearance slips past August 17, CHI 2027 is off and LAK becomes primary. Decide at the checkpoint, not on September 3.</w:t>
      </w:r>
    </w:p>
    <w:p>
      <w:pPr>
        <w:pStyle w:val="Heading2"/>
        <w:spacing w:after="110" w:before="240"/>
      </w:pPr>
      <w:r>
        <w:rPr>
          <w:b/>
          <w:bCs/>
        </w:rPr>
        <w:t xml:space="preserve">Framing notes for the paper</w:t>
      </w:r>
    </w:p>
    <w:p>
      <w:pPr>
        <w:pStyle w:val="ListParagraph"/>
        <w:numPr>
          <w:ilvl w:val="0"/>
          <w:numId w:val="3"/>
        </w:numPr>
        <w:spacing w:after="75" w:line="264"/>
      </w:pPr>
      <w:r>
        <w:t xml:space="preserve">EitL = sensitizing lens in the discussion only. The genuine delta vs Holstein-style teacher-AI co-orchestration is asynchronous, pre-hoc constraint authoring plus retrospective monitoring for third-party benefit, argued against the specific papers.</w:t>
      </w:r>
    </w:p>
    <w:p>
      <w:pPr>
        <w:pStyle w:val="ListParagraph"/>
        <w:numPr>
          <w:ilvl w:val="0"/>
          <w:numId w:val="3"/>
        </w:numPr>
        <w:spacing w:after="75" w:line="264"/>
      </w:pPr>
      <w:r>
        <w:t xml:space="preserve">Connect 'AI teaching instructions' to end-user prompt-programming (Zamfirescu-Pereira et al.); engage appropriate-reliance empirically through the probes.</w:t>
      </w:r>
    </w:p>
    <w:p>
      <w:pPr>
        <w:pStyle w:val="ListParagraph"/>
        <w:numPr>
          <w:ilvl w:val="0"/>
          <w:numId w:val="3"/>
        </w:numPr>
        <w:spacing w:after="75" w:line="264"/>
      </w:pPr>
      <w:r>
        <w:t xml:space="preserve">Cross-domain table: one motivating paragraph + one future-work sentence, never in contributions.</w:t>
      </w:r>
    </w:p>
    <w:p>
      <w:pPr>
        <w:pStyle w:val="ListParagraph"/>
        <w:numPr>
          <w:ilvl w:val="0"/>
          <w:numId w:val="3"/>
        </w:numPr>
        <w:spacing w:after="75" w:line="264"/>
      </w:pPr>
      <w:r>
        <w:t xml:space="preserve">Limitations stated plainly: single-institution-skewed convenience sample (mitigated by externals); scenario-based monitoring evidence with synthetic students (mitigated by the real-syllabus authoring task); no student-side data this phase (the learner vertex is future work: Fall 2026 real-semester deployment).</w:t>
      </w:r>
    </w:p>
    <w:p>
      <w:r>
        <w:br w:type="page"/>
      </w:r>
    </w:p>
    <w:p>
      <w:pPr>
        <w:pStyle w:val="Heading1"/>
        <w:spacing w:after="140" w:before="320"/>
      </w:pPr>
      <w:r>
        <w:rPr>
          <w:b/>
          <w:bCs/>
        </w:rPr>
        <w:t xml:space="preserve">Appendix A: Verification Ledger</w:t>
      </w:r>
    </w:p>
    <w:p>
      <w:pPr>
        <w:spacing w:after="110" w:line="268"/>
      </w:pPr>
      <w:r>
        <w:t xml:space="preserve">Every design-relevant claim and how it was verified. Code references are file:line at commit be91a60; live checks performed July 29, 2026 on the deployed system as the study instructor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52"/>
        <w:gridCol w:w="4608"/>
      </w:tblGrid>
      <w:tr>
        <w:trPr>
          <w:tblHeader/>
        </w:trPr>
        <w:tc>
          <w:tcPr>
            <w:tcW w:type="dxa" w:w="4752"/>
            <w:shd w:fill="F2F4F7" w:val="clear"/>
            <w:tcMar>
              <w:top w:type="dxa" w:w="55"/>
              <w:left w:type="dxa" w:w="95"/>
              <w:bottom w:type="dxa" w:w="55"/>
              <w:right w:type="dxa" w:w="95"/>
            </w:tcMar>
          </w:tcPr>
          <w:p>
            <w:pPr>
              <w:spacing w:after="0" w:line="240"/>
            </w:pPr>
            <w:r>
              <w:rPr>
                <w:b/>
                <w:bCs/>
                <w:sz w:val="17"/>
                <w:szCs w:val="17"/>
              </w:rPr>
              <w:t xml:space="preserve">Claim</w:t>
            </w:r>
          </w:p>
        </w:tc>
        <w:tc>
          <w:tcPr>
            <w:tcW w:type="dxa" w:w="4608"/>
            <w:shd w:fill="F2F4F7" w:val="clear"/>
            <w:tcMar>
              <w:top w:type="dxa" w:w="55"/>
              <w:left w:type="dxa" w:w="95"/>
              <w:bottom w:type="dxa" w:w="55"/>
              <w:right w:type="dxa" w:w="95"/>
            </w:tcMar>
          </w:tcPr>
          <w:p>
            <w:pPr>
              <w:spacing w:after="0" w:line="240"/>
            </w:pPr>
            <w:r>
              <w:rPr>
                <w:b/>
                <w:bCs/>
                <w:sz w:val="17"/>
                <w:szCs w:val="17"/>
              </w:rPr>
              <w:t xml:space="preserve">Verification</w:t>
            </w:r>
          </w:p>
        </w:tc>
      </w:tr>
      <w:tr>
        <w:trPr>
          <w:tblHeader w:val="false"/>
        </w:trPr>
        <w:tc>
          <w:tcPr>
            <w:tcW w:type="dxa" w:w="4752"/>
            <w:tcMar>
              <w:top w:type="dxa" w:w="55"/>
              <w:left w:type="dxa" w:w="95"/>
              <w:bottom w:type="dxa" w:w="55"/>
              <w:right w:type="dxa" w:w="95"/>
            </w:tcMar>
          </w:tcPr>
          <w:p>
            <w:pPr>
              <w:spacing w:after="0" w:line="240"/>
            </w:pPr>
            <w:r>
              <w:rPr>
                <w:b w:val="false"/>
                <w:bCs w:val="false"/>
                <w:sz w:val="17"/>
                <w:szCs w:val="17"/>
              </w:rPr>
              <w:t xml:space="preserve">Risk formula = 100×(0.40 engagement + 0.30 pass rate + 0.20 quiz + 0.10 struggle); tiers Critical ≥70 / High ≥40 / Watch ≥20</w:t>
            </w:r>
          </w:p>
        </w:tc>
        <w:tc>
          <w:tcPr>
            <w:tcW w:type="dxa" w:w="4608"/>
            <w:tcMar>
              <w:top w:type="dxa" w:w="55"/>
              <w:left w:type="dxa" w:w="95"/>
              <w:bottom w:type="dxa" w:w="55"/>
              <w:right w:type="dxa" w:w="95"/>
            </w:tcMar>
          </w:tcPr>
          <w:p>
            <w:pPr>
              <w:spacing w:after="0" w:line="240"/>
            </w:pPr>
            <w:r>
              <w:rPr>
                <w:b w:val="false"/>
                <w:bCs w:val="false"/>
                <w:sz w:val="17"/>
                <w:szCs w:val="17"/>
              </w:rPr>
              <w:t xml:space="preserve">milestoneAnalyticsService.js:237, 380–385, 396–399</w:t>
            </w:r>
          </w:p>
        </w:tc>
      </w:tr>
      <w:tr>
        <w:trPr>
          <w:tblHeader w:val="false"/>
        </w:trPr>
        <w:tc>
          <w:tcPr>
            <w:tcW w:type="dxa" w:w="4752"/>
            <w:tcMar>
              <w:top w:type="dxa" w:w="55"/>
              <w:left w:type="dxa" w:w="95"/>
              <w:bottom w:type="dxa" w:w="55"/>
              <w:right w:type="dxa" w:w="95"/>
            </w:tcMar>
          </w:tcPr>
          <w:p>
            <w:pPr>
              <w:spacing w:after="0" w:line="240"/>
            </w:pPr>
            <w:r>
              <w:rPr>
                <w:b w:val="false"/>
                <w:bCs w:val="false"/>
                <w:sz w:val="17"/>
                <w:szCs w:val="17"/>
              </w:rPr>
              <w:t xml:space="preserve">Engagement signal is published-topic coverage, NOT login recency; engagement alone caps at 40, so the draft's 'Critical from stopped logins' was impossible</w:t>
            </w:r>
          </w:p>
        </w:tc>
        <w:tc>
          <w:tcPr>
            <w:tcW w:type="dxa" w:w="4608"/>
            <w:tcMar>
              <w:top w:type="dxa" w:w="55"/>
              <w:left w:type="dxa" w:w="95"/>
              <w:bottom w:type="dxa" w:w="55"/>
              <w:right w:type="dxa" w:w="95"/>
            </w:tcMar>
          </w:tcPr>
          <w:p>
            <w:pPr>
              <w:spacing w:after="0" w:line="240"/>
            </w:pPr>
            <w:r>
              <w:rPr>
                <w:b w:val="false"/>
                <w:bCs w:val="false"/>
                <w:sz w:val="17"/>
                <w:szCs w:val="17"/>
              </w:rPr>
              <w:t xml:space="preserve">milestoneAnalyticsService.js:369–378; in-code comment :387–391</w:t>
            </w:r>
          </w:p>
        </w:tc>
      </w:tr>
      <w:tr>
        <w:trPr>
          <w:tblHeader w:val="false"/>
        </w:trPr>
        <w:tc>
          <w:tcPr>
            <w:tcW w:type="dxa" w:w="4752"/>
            <w:tcMar>
              <w:top w:type="dxa" w:w="55"/>
              <w:left w:type="dxa" w:w="95"/>
              <w:bottom w:type="dxa" w:w="55"/>
              <w:right w:type="dxa" w:w="95"/>
            </w:tcMar>
          </w:tcPr>
          <w:p>
            <w:pPr>
              <w:spacing w:after="0" w:line="240"/>
            </w:pPr>
            <w:r>
              <w:rPr>
                <w:b w:val="false"/>
                <w:bCs w:val="false"/>
                <w:sz w:val="17"/>
                <w:szCs w:val="17"/>
              </w:rPr>
              <w:t xml:space="preserve">Maya profile (1 of 15 topics touched; 95×7 then 58 across 8 attempts) yields ≈75 Critical with visible avg 90.4%</w:t>
            </w:r>
          </w:p>
        </w:tc>
        <w:tc>
          <w:tcPr>
            <w:tcW w:type="dxa" w:w="4608"/>
            <w:tcMar>
              <w:top w:type="dxa" w:w="55"/>
              <w:left w:type="dxa" w:w="95"/>
              <w:bottom w:type="dxa" w:w="55"/>
              <w:right w:type="dxa" w:w="95"/>
            </w:tcMar>
          </w:tcPr>
          <w:p>
            <w:pPr>
              <w:spacing w:after="0" w:line="240"/>
            </w:pPr>
            <w:r>
              <w:rPr>
                <w:b w:val="false"/>
                <w:bCs w:val="false"/>
                <w:sz w:val="17"/>
                <w:szCs w:val="17"/>
              </w:rPr>
              <w:t xml:space="preserve">Computed against formula; passed = scorePct ≥ 60 at quizRoutes.js:827–828</w:t>
            </w:r>
          </w:p>
        </w:tc>
      </w:tr>
      <w:tr>
        <w:trPr>
          <w:tblHeader w:val="false"/>
        </w:trPr>
        <w:tc>
          <w:tcPr>
            <w:tcW w:type="dxa" w:w="4752"/>
            <w:tcMar>
              <w:top w:type="dxa" w:w="55"/>
              <w:left w:type="dxa" w:w="95"/>
              <w:bottom w:type="dxa" w:w="55"/>
              <w:right w:type="dxa" w:w="95"/>
            </w:tcMar>
          </w:tcPr>
          <w:p>
            <w:pPr>
              <w:spacing w:after="0" w:line="240"/>
            </w:pPr>
            <w:r>
              <w:rPr>
                <w:b w:val="false"/>
                <w:bCs w:val="false"/>
                <w:sz w:val="17"/>
                <w:szCs w:val="17"/>
              </w:rPr>
              <w:t xml:space="preserve">No automatic 'doing well' override removes a high-scoring student; only manual instructor override exists</w:t>
            </w:r>
          </w:p>
        </w:tc>
        <w:tc>
          <w:tcPr>
            <w:tcW w:type="dxa" w:w="4608"/>
            <w:tcMar>
              <w:top w:type="dxa" w:w="55"/>
              <w:left w:type="dxa" w:w="95"/>
              <w:bottom w:type="dxa" w:w="55"/>
              <w:right w:type="dxa" w:w="95"/>
            </w:tcMar>
          </w:tcPr>
          <w:p>
            <w:pPr>
              <w:spacing w:after="0" w:line="240"/>
            </w:pPr>
            <w:r>
              <w:rPr>
                <w:b w:val="false"/>
                <w:bCs w:val="false"/>
                <w:sz w:val="17"/>
                <w:szCs w:val="17"/>
              </w:rPr>
              <w:t xml:space="preserve">milestoneAnalyticsService.js:698–699; InstructorStudentNote.js:43–46</w:t>
            </w:r>
          </w:p>
        </w:tc>
      </w:tr>
      <w:tr>
        <w:trPr>
          <w:tblHeader w:val="false"/>
        </w:trPr>
        <w:tc>
          <w:tcPr>
            <w:tcW w:type="dxa" w:w="4752"/>
            <w:tcMar>
              <w:top w:type="dxa" w:w="55"/>
              <w:left w:type="dxa" w:w="95"/>
              <w:bottom w:type="dxa" w:w="55"/>
              <w:right w:type="dxa" w:w="95"/>
            </w:tcMar>
          </w:tcPr>
          <w:p>
            <w:pPr>
              <w:spacing w:after="0" w:line="240"/>
            </w:pPr>
            <w:r>
              <w:rPr>
                <w:b w:val="false"/>
                <w:bCs w:val="false"/>
                <w:sz w:val="17"/>
                <w:szCs w:val="17"/>
              </w:rPr>
              <w:t xml:space="preserve">New enrollments read healthy for 7 days (Maya backdated ≥8 days)</w:t>
            </w:r>
          </w:p>
        </w:tc>
        <w:tc>
          <w:tcPr>
            <w:tcW w:type="dxa" w:w="4608"/>
            <w:tcMar>
              <w:top w:type="dxa" w:w="55"/>
              <w:left w:type="dxa" w:w="95"/>
              <w:bottom w:type="dxa" w:w="55"/>
              <w:right w:type="dxa" w:w="95"/>
            </w:tcMar>
          </w:tcPr>
          <w:p>
            <w:pPr>
              <w:spacing w:after="0" w:line="240"/>
            </w:pPr>
            <w:r>
              <w:rPr>
                <w:b w:val="false"/>
                <w:bCs w:val="false"/>
                <w:sz w:val="17"/>
                <w:szCs w:val="17"/>
              </w:rPr>
              <w:t xml:space="preserve">R1 rule, milestoneAnalyticsService.js:285–303</w:t>
            </w:r>
          </w:p>
        </w:tc>
      </w:tr>
      <w:tr>
        <w:trPr>
          <w:tblHeader w:val="false"/>
        </w:trPr>
        <w:tc>
          <w:tcPr>
            <w:tcW w:type="dxa" w:w="4752"/>
            <w:tcMar>
              <w:top w:type="dxa" w:w="55"/>
              <w:left w:type="dxa" w:w="95"/>
              <w:bottom w:type="dxa" w:w="55"/>
              <w:right w:type="dxa" w:w="95"/>
            </w:tcMar>
          </w:tcPr>
          <w:p>
            <w:pPr>
              <w:spacing w:after="0" w:line="240"/>
            </w:pPr>
            <w:r>
              <w:rPr>
                <w:b w:val="false"/>
                <w:bCs w:val="false"/>
                <w:sz w:val="17"/>
                <w:szCs w:val="17"/>
              </w:rPr>
              <w:t xml:space="preserve">Teaching instructions save to Course.globalInstructions and inject into tutoring prompts and plan generation; NOT quiz generation</w:t>
            </w:r>
          </w:p>
        </w:tc>
        <w:tc>
          <w:tcPr>
            <w:tcW w:type="dxa" w:w="4608"/>
            <w:tcMar>
              <w:top w:type="dxa" w:w="55"/>
              <w:left w:type="dxa" w:w="95"/>
              <w:bottom w:type="dxa" w:w="55"/>
              <w:right w:type="dxa" w:w="95"/>
            </w:tcMar>
          </w:tcPr>
          <w:p>
            <w:pPr>
              <w:spacing w:after="0" w:line="240"/>
            </w:pPr>
            <w:r>
              <w:rPr>
                <w:b w:val="false"/>
                <w:bCs w:val="false"/>
                <w:sz w:val="17"/>
                <w:szCs w:val="17"/>
              </w:rPr>
              <w:t xml:space="preserve">instructorRoutes.js:160,191; chatRoutes.js:178–193 into teacher_prompt.js:529–534; assessmentRoutes.js:36–43 into srl_assessment_prompt.js:133–137; quiz gap: quizAgent.js</w:t>
            </w:r>
          </w:p>
        </w:tc>
      </w:tr>
      <w:tr>
        <w:trPr>
          <w:tblHeader w:val="false"/>
        </w:trPr>
        <w:tc>
          <w:tcPr>
            <w:tcW w:type="dxa" w:w="4752"/>
            <w:tcMar>
              <w:top w:type="dxa" w:w="55"/>
              <w:left w:type="dxa" w:w="95"/>
              <w:bottom w:type="dxa" w:w="55"/>
              <w:right w:type="dxa" w:w="95"/>
            </w:tcMar>
          </w:tcPr>
          <w:p>
            <w:pPr>
              <w:spacing w:after="0" w:line="240"/>
            </w:pPr>
            <w:r>
              <w:rPr>
                <w:b w:val="false"/>
                <w:bCs w:val="false"/>
                <w:sz w:val="17"/>
                <w:szCs w:val="17"/>
              </w:rPr>
              <w:t xml:space="preserve">Quiz pattern editable fields: count 3–10, six Bloom levels, difficulty mix, Instructor notes; question-type weights have no UI</w:t>
            </w:r>
          </w:p>
        </w:tc>
        <w:tc>
          <w:tcPr>
            <w:tcW w:type="dxa" w:w="4608"/>
            <w:tcMar>
              <w:top w:type="dxa" w:w="55"/>
              <w:left w:type="dxa" w:w="95"/>
              <w:bottom w:type="dxa" w:w="55"/>
              <w:right w:type="dxa" w:w="95"/>
            </w:tcMar>
          </w:tcPr>
          <w:p>
            <w:pPr>
              <w:spacing w:after="0" w:line="240"/>
            </w:pPr>
            <w:r>
              <w:rPr>
                <w:b w:val="false"/>
                <w:bCs w:val="false"/>
                <w:sz w:val="17"/>
                <w:szCs w:val="17"/>
              </w:rPr>
              <w:t xml:space="preserve">CourseTopic.js:3–21; InstructorTopicEditorPage.jsx:105–144 (QUESTION_TYPES declared :13, never rendered)</w:t>
            </w:r>
          </w:p>
        </w:tc>
      </w:tr>
      <w:tr>
        <w:trPr>
          <w:tblHeader w:val="false"/>
        </w:trPr>
        <w:tc>
          <w:tcPr>
            <w:tcW w:type="dxa" w:w="4752"/>
            <w:tcMar>
              <w:top w:type="dxa" w:w="55"/>
              <w:left w:type="dxa" w:w="95"/>
              <w:bottom w:type="dxa" w:w="55"/>
              <w:right w:type="dxa" w:w="95"/>
            </w:tcMar>
          </w:tcPr>
          <w:p>
            <w:pPr>
              <w:spacing w:after="0" w:line="240"/>
            </w:pPr>
            <w:r>
              <w:rPr>
                <w:b w:val="false"/>
                <w:bCs w:val="false"/>
                <w:sz w:val="17"/>
                <w:szCs w:val="17"/>
              </w:rPr>
              <w:t xml:space="preserve">Quiz pattern flows into student quiz generation</w:t>
            </w:r>
          </w:p>
        </w:tc>
        <w:tc>
          <w:tcPr>
            <w:tcW w:type="dxa" w:w="4608"/>
            <w:tcMar>
              <w:top w:type="dxa" w:w="55"/>
              <w:left w:type="dxa" w:w="95"/>
              <w:bottom w:type="dxa" w:w="55"/>
              <w:right w:type="dxa" w:w="95"/>
            </w:tcMar>
          </w:tcPr>
          <w:p>
            <w:pPr>
              <w:spacing w:after="0" w:line="240"/>
            </w:pPr>
            <w:r>
              <w:rPr>
                <w:b w:val="false"/>
                <w:bCs w:val="false"/>
                <w:sz w:val="17"/>
                <w:szCs w:val="17"/>
              </w:rPr>
              <w:t xml:space="preserve">quizRoutes.js:36–46, 579–580, 607; quizAgent.js:69–70</w:t>
            </w:r>
          </w:p>
        </w:tc>
      </w:tr>
      <w:tr>
        <w:trPr>
          <w:tblHeader w:val="false"/>
        </w:trPr>
        <w:tc>
          <w:tcPr>
            <w:tcW w:type="dxa" w:w="4752"/>
            <w:tcMar>
              <w:top w:type="dxa" w:w="55"/>
              <w:left w:type="dxa" w:w="95"/>
              <w:bottom w:type="dxa" w:w="55"/>
              <w:right w:type="dxa" w:w="95"/>
            </w:tcMar>
          </w:tcPr>
          <w:p>
            <w:pPr>
              <w:spacing w:after="0" w:line="240"/>
            </w:pPr>
            <w:r>
              <w:rPr>
                <w:b w:val="false"/>
                <w:bCs w:val="false"/>
                <w:sz w:val="17"/>
                <w:szCs w:val="17"/>
              </w:rPr>
              <w:t xml:space="preserve">Students join by access code; auth required, student role not enforced; published topic required to start</w:t>
            </w:r>
          </w:p>
        </w:tc>
        <w:tc>
          <w:tcPr>
            <w:tcW w:type="dxa" w:w="4608"/>
            <w:tcMar>
              <w:top w:type="dxa" w:w="55"/>
              <w:left w:type="dxa" w:w="95"/>
              <w:bottom w:type="dxa" w:w="55"/>
              <w:right w:type="dxa" w:w="95"/>
            </w:tcMar>
          </w:tcPr>
          <w:p>
            <w:pPr>
              <w:spacing w:after="0" w:line="240"/>
            </w:pPr>
            <w:r>
              <w:rPr>
                <w:b w:val="false"/>
                <w:bCs w:val="false"/>
                <w:sz w:val="17"/>
                <w:szCs w:val="17"/>
              </w:rPr>
              <w:t xml:space="preserve">enrollmentRoutes.js:14–51, 87–96, 128 (403 TOPIC_NOT_PUBLISHED)</w:t>
            </w:r>
          </w:p>
        </w:tc>
      </w:tr>
      <w:tr>
        <w:trPr>
          <w:tblHeader w:val="false"/>
        </w:trPr>
        <w:tc>
          <w:tcPr>
            <w:tcW w:type="dxa" w:w="4752"/>
            <w:tcMar>
              <w:top w:type="dxa" w:w="55"/>
              <w:left w:type="dxa" w:w="95"/>
              <w:bottom w:type="dxa" w:w="55"/>
              <w:right w:type="dxa" w:w="95"/>
            </w:tcMar>
          </w:tcPr>
          <w:p>
            <w:pPr>
              <w:spacing w:after="0" w:line="240"/>
            </w:pPr>
            <w:r>
              <w:rPr>
                <w:b w:val="false"/>
                <w:bCs w:val="false"/>
                <w:sz w:val="17"/>
                <w:szCs w:val="17"/>
              </w:rPr>
              <w:t xml:space="preserve">Separate sandbox student account needed (instructor sign-in redirects; instructor accounts lack the student profile the tutor consumes)</w:t>
            </w:r>
          </w:p>
        </w:tc>
        <w:tc>
          <w:tcPr>
            <w:tcW w:type="dxa" w:w="4608"/>
            <w:tcMar>
              <w:top w:type="dxa" w:w="55"/>
              <w:left w:type="dxa" w:w="95"/>
              <w:bottom w:type="dxa" w:w="55"/>
              <w:right w:type="dxa" w:w="95"/>
            </w:tcMar>
          </w:tcPr>
          <w:p>
            <w:pPr>
              <w:spacing w:after="0" w:line="240"/>
            </w:pPr>
            <w:r>
              <w:rPr>
                <w:b w:val="false"/>
                <w:bCs w:val="false"/>
                <w:sz w:val="17"/>
                <w:szCs w:val="17"/>
              </w:rPr>
              <w:t xml:space="preserve">SignIn.jsx:28,55; InstructorOnboarding.jsx:20</w:t>
            </w:r>
          </w:p>
        </w:tc>
      </w:tr>
      <w:tr>
        <w:trPr>
          <w:tblHeader w:val="false"/>
        </w:trPr>
        <w:tc>
          <w:tcPr>
            <w:tcW w:type="dxa" w:w="4752"/>
            <w:tcMar>
              <w:top w:type="dxa" w:w="55"/>
              <w:left w:type="dxa" w:w="95"/>
              <w:bottom w:type="dxa" w:w="55"/>
              <w:right w:type="dxa" w:w="95"/>
            </w:tcMar>
          </w:tcPr>
          <w:p>
            <w:pPr>
              <w:spacing w:after="0" w:line="240"/>
            </w:pPr>
            <w:r>
              <w:rPr>
                <w:b w:val="false"/>
                <w:bCs w:val="false"/>
                <w:sz w:val="17"/>
                <w:szCs w:val="17"/>
              </w:rPr>
              <w:t xml:space="preserve">Assistant probe hook location + size (~8–12 lines)</w:t>
            </w:r>
          </w:p>
        </w:tc>
        <w:tc>
          <w:tcPr>
            <w:tcW w:type="dxa" w:w="4608"/>
            <w:tcMar>
              <w:top w:type="dxa" w:w="55"/>
              <w:left w:type="dxa" w:w="95"/>
              <w:bottom w:type="dxa" w:w="55"/>
              <w:right w:type="dxa" w:w="95"/>
            </w:tcMar>
          </w:tcPr>
          <w:p>
            <w:pPr>
              <w:spacing w:after="0" w:line="240"/>
            </w:pPr>
            <w:r>
              <w:rPr>
                <w:b w:val="false"/>
                <w:bCs w:val="false"/>
                <w:sz w:val="17"/>
                <w:szCs w:val="17"/>
              </w:rPr>
              <w:t xml:space="preserve">instructorChatRoutes.js:56–104 (single agent call site :80–87)</w:t>
            </w:r>
          </w:p>
        </w:tc>
      </w:tr>
      <w:tr>
        <w:trPr>
          <w:tblHeader w:val="false"/>
        </w:trPr>
        <w:tc>
          <w:tcPr>
            <w:tcW w:type="dxa" w:w="4752"/>
            <w:tcMar>
              <w:top w:type="dxa" w:w="55"/>
              <w:left w:type="dxa" w:w="95"/>
              <w:bottom w:type="dxa" w:w="55"/>
              <w:right w:type="dxa" w:w="95"/>
            </w:tcMar>
          </w:tcPr>
          <w:p>
            <w:pPr>
              <w:spacing w:after="0" w:line="240"/>
            </w:pPr>
            <w:r>
              <w:rPr>
                <w:b w:val="false"/>
                <w:bCs w:val="false"/>
                <w:sz w:val="17"/>
                <w:szCs w:val="17"/>
              </w:rPr>
              <w:t xml:space="preserve">Briefing probe hook location + size (~5–8 lines); briefing is cross-course, so gate on instructor</w:t>
            </w:r>
          </w:p>
        </w:tc>
        <w:tc>
          <w:tcPr>
            <w:tcW w:type="dxa" w:w="4608"/>
            <w:tcMar>
              <w:top w:type="dxa" w:w="55"/>
              <w:left w:type="dxa" w:w="95"/>
              <w:bottom w:type="dxa" w:w="55"/>
              <w:right w:type="dxa" w:w="95"/>
            </w:tcMar>
          </w:tcPr>
          <w:p>
            <w:pPr>
              <w:spacing w:after="0" w:line="240"/>
            </w:pPr>
            <w:r>
              <w:rPr>
                <w:b w:val="false"/>
                <w:bCs w:val="false"/>
                <w:sz w:val="17"/>
                <w:szCs w:val="17"/>
              </w:rPr>
              <w:t xml:space="preserve">analyticsRoutes.js:639–646; instructorBriefingAgent.js:62–82 (append after 500-char truncation)</w:t>
            </w:r>
          </w:p>
        </w:tc>
      </w:tr>
      <w:tr>
        <w:trPr>
          <w:tblHeader w:val="false"/>
        </w:trPr>
        <w:tc>
          <w:tcPr>
            <w:tcW w:type="dxa" w:w="4752"/>
            <w:tcMar>
              <w:top w:type="dxa" w:w="55"/>
              <w:left w:type="dxa" w:w="95"/>
              <w:bottom w:type="dxa" w:w="55"/>
              <w:right w:type="dxa" w:w="95"/>
            </w:tcMar>
          </w:tcPr>
          <w:p>
            <w:pPr>
              <w:spacing w:after="0" w:line="240"/>
            </w:pPr>
            <w:r>
              <w:rPr>
                <w:b w:val="false"/>
                <w:bCs w:val="false"/>
                <w:sz w:val="17"/>
                <w:szCs w:val="17"/>
              </w:rPr>
              <w:t xml:space="preserve">Demo-course weakest topics (1st-attempt pass): Arrays: Sorting and Searching 56%, Variables 58%, Conditional 59%, Number Systems 60%, Methods 63%. The probe names a real topic and number with the wrong rank; no 'Recursion' topic exists</w:t>
            </w:r>
          </w:p>
        </w:tc>
        <w:tc>
          <w:tcPr>
            <w:tcW w:type="dxa" w:w="4608"/>
            <w:tcMar>
              <w:top w:type="dxa" w:w="55"/>
              <w:left w:type="dxa" w:w="95"/>
              <w:bottom w:type="dxa" w:w="55"/>
              <w:right w:type="dxa" w:w="95"/>
            </w:tcMar>
          </w:tcPr>
          <w:p>
            <w:pPr>
              <w:spacing w:after="0" w:line="240"/>
            </w:pPr>
            <w:r>
              <w:rPr>
                <w:b w:val="false"/>
                <w:bCs w:val="false"/>
                <w:sz w:val="17"/>
                <w:szCs w:val="17"/>
              </w:rPr>
              <w:t xml:space="preserve">Live check July 29: Insights → Course health → Quiz difficulty by topic</w:t>
            </w:r>
          </w:p>
        </w:tc>
      </w:tr>
      <w:tr>
        <w:trPr>
          <w:tblHeader w:val="false"/>
        </w:trPr>
        <w:tc>
          <w:tcPr>
            <w:tcW w:type="dxa" w:w="4752"/>
            <w:tcMar>
              <w:top w:type="dxa" w:w="55"/>
              <w:left w:type="dxa" w:w="95"/>
              <w:bottom w:type="dxa" w:w="55"/>
              <w:right w:type="dxa" w:w="95"/>
            </w:tcMar>
          </w:tcPr>
          <w:p>
            <w:pPr>
              <w:spacing w:after="0" w:line="240"/>
            </w:pPr>
            <w:r>
              <w:rPr>
                <w:b w:val="false"/>
                <w:bCs w:val="false"/>
                <w:sz w:val="17"/>
                <w:szCs w:val="17"/>
              </w:rPr>
              <w:t xml:space="preserve">Isabela Zhao (B4) exists: Watch 30/100, 13 of 15 topics touched, richest replay material ('Devon P.' did not exist)</w:t>
            </w:r>
          </w:p>
        </w:tc>
        <w:tc>
          <w:tcPr>
            <w:tcW w:type="dxa" w:w="4608"/>
            <w:tcMar>
              <w:top w:type="dxa" w:w="55"/>
              <w:left w:type="dxa" w:w="95"/>
              <w:bottom w:type="dxa" w:w="55"/>
              <w:right w:type="dxa" w:w="95"/>
            </w:tcMar>
          </w:tcPr>
          <w:p>
            <w:pPr>
              <w:spacing w:after="0" w:line="240"/>
            </w:pPr>
            <w:r>
              <w:rPr>
                <w:b w:val="false"/>
                <w:bCs w:val="false"/>
                <w:sz w:val="17"/>
                <w:szCs w:val="17"/>
              </w:rPr>
              <w:t xml:space="preserve">Live check July 29: Who should I reach?</w:t>
            </w:r>
          </w:p>
        </w:tc>
      </w:tr>
      <w:tr>
        <w:trPr>
          <w:tblHeader w:val="false"/>
        </w:trPr>
        <w:tc>
          <w:tcPr>
            <w:tcW w:type="dxa" w:w="4752"/>
            <w:tcMar>
              <w:top w:type="dxa" w:w="55"/>
              <w:left w:type="dxa" w:w="95"/>
              <w:bottom w:type="dxa" w:w="55"/>
              <w:right w:type="dxa" w:w="95"/>
            </w:tcMar>
          </w:tcPr>
          <w:p>
            <w:pPr>
              <w:spacing w:after="0" w:line="240"/>
            </w:pPr>
            <w:r>
              <w:rPr>
                <w:b w:val="false"/>
                <w:bCs w:val="false"/>
                <w:sz w:val="17"/>
                <w:szCs w:val="17"/>
              </w:rPr>
              <w:t xml:space="preserve">Demo course tier mix 0 Critical / 1 High / 5 Watch / 14 Healthy; Maya's seed adds the lone Critical, making B2 triage natural</w:t>
            </w:r>
          </w:p>
        </w:tc>
        <w:tc>
          <w:tcPr>
            <w:tcW w:type="dxa" w:w="4608"/>
            <w:tcMar>
              <w:top w:type="dxa" w:w="55"/>
              <w:left w:type="dxa" w:w="95"/>
              <w:bottom w:type="dxa" w:w="55"/>
              <w:right w:type="dxa" w:w="95"/>
            </w:tcMar>
          </w:tcPr>
          <w:p>
            <w:pPr>
              <w:spacing w:after="0" w:line="240"/>
            </w:pPr>
            <w:r>
              <w:rPr>
                <w:b w:val="false"/>
                <w:bCs w:val="false"/>
                <w:sz w:val="17"/>
                <w:szCs w:val="17"/>
              </w:rPr>
              <w:t xml:space="preserve">Live check July 29: risk distribution chart</w:t>
            </w:r>
          </w:p>
        </w:tc>
      </w:tr>
      <w:tr>
        <w:trPr>
          <w:tblHeader w:val="false"/>
        </w:trPr>
        <w:tc>
          <w:tcPr>
            <w:tcW w:type="dxa" w:w="4752"/>
            <w:tcMar>
              <w:top w:type="dxa" w:w="55"/>
              <w:left w:type="dxa" w:w="95"/>
              <w:bottom w:type="dxa" w:w="55"/>
              <w:right w:type="dxa" w:w="95"/>
            </w:tcMar>
          </w:tcPr>
          <w:p>
            <w:pPr>
              <w:spacing w:after="0" w:line="240"/>
            </w:pPr>
            <w:r>
              <w:rPr>
                <w:b w:val="false"/>
                <w:bCs w:val="false"/>
                <w:sz w:val="17"/>
                <w:szCs w:val="17"/>
              </w:rPr>
              <w:t xml:space="preserve">Briefing on Dashboard beside Need-attention card, KPI tiles below; Probe 3 ground truth on-screen</w:t>
            </w:r>
          </w:p>
        </w:tc>
        <w:tc>
          <w:tcPr>
            <w:tcW w:type="dxa" w:w="4608"/>
            <w:tcMar>
              <w:top w:type="dxa" w:w="55"/>
              <w:left w:type="dxa" w:w="95"/>
              <w:bottom w:type="dxa" w:w="55"/>
              <w:right w:type="dxa" w:w="95"/>
            </w:tcMar>
          </w:tcPr>
          <w:p>
            <w:pPr>
              <w:spacing w:after="0" w:line="240"/>
            </w:pPr>
            <w:r>
              <w:rPr>
                <w:b w:val="false"/>
                <w:bCs w:val="false"/>
                <w:sz w:val="17"/>
                <w:szCs w:val="17"/>
              </w:rPr>
              <w:t xml:space="preserve">Live check July 29: Dashboard</w:t>
            </w:r>
          </w:p>
        </w:tc>
      </w:tr>
      <w:tr>
        <w:trPr>
          <w:tblHeader w:val="false"/>
        </w:trPr>
        <w:tc>
          <w:tcPr>
            <w:tcW w:type="dxa" w:w="4752"/>
            <w:tcMar>
              <w:top w:type="dxa" w:w="55"/>
              <w:left w:type="dxa" w:w="95"/>
              <w:bottom w:type="dxa" w:w="55"/>
              <w:right w:type="dxa" w:w="95"/>
            </w:tcMar>
          </w:tcPr>
          <w:p>
            <w:pPr>
              <w:spacing w:after="0" w:line="240"/>
            </w:pPr>
            <w:r>
              <w:rPr>
                <w:b w:val="false"/>
                <w:bCs w:val="false"/>
                <w:sz w:val="17"/>
                <w:szCs w:val="17"/>
              </w:rPr>
              <w:t xml:space="preserve">Monitor page: per-topic progress, replay to quiz-answer level, course- AND topic-scoped notes, 5-week risk trend</w:t>
            </w:r>
          </w:p>
        </w:tc>
        <w:tc>
          <w:tcPr>
            <w:tcW w:type="dxa" w:w="4608"/>
            <w:tcMar>
              <w:top w:type="dxa" w:w="55"/>
              <w:left w:type="dxa" w:w="95"/>
              <w:bottom w:type="dxa" w:w="55"/>
              <w:right w:type="dxa" w:w="95"/>
            </w:tcMar>
          </w:tcPr>
          <w:p>
            <w:pPr>
              <w:spacing w:after="0" w:line="240"/>
            </w:pPr>
            <w:r>
              <w:rPr>
                <w:b w:val="false"/>
                <w:bCs w:val="false"/>
                <w:sz w:val="17"/>
                <w:szCs w:val="17"/>
              </w:rPr>
              <w:t xml:space="preserve">analyticsRoutes.js:316, 363, 489+; live check</w:t>
            </w:r>
          </w:p>
        </w:tc>
      </w:tr>
    </w:tbl>
    <w:p>
      <w:pPr>
        <w:spacing w:after="110"/>
      </w:pPr>
    </w:p>
    <w:p>
      <w:pPr>
        <w:spacing w:after="110" w:line="268"/>
      </w:pPr>
      <w:r>
        <w:rPr>
          <w:b/>
          <w:bCs/>
        </w:rPr>
        <w:t xml:space="preserve">Corrections from the July 22 draft, for the record: </w:t>
      </w:r>
      <w:r>
        <w:t xml:space="preserve">Probe 1 redesigned (engagement-only Critical was mathematically impossible; login recency is not a formula input; 'all topics complete' would zero the engagement signal). Probe 2 rebuilt on real topics with live numbers (the draft's 'Recursion'/'Arrays' pair did not exist as published-topic data). B4 target renamed from the nonexistent 'Devon P.' to Isabela Zhao. Briefing probe re-scoped to the Dashboard and instructor-gated. A2 expanded to include Approve and Publish (required before role-play). Sandbox student account made explicit. Q1 follow-up added to capture the instructions-vs-quiz expressiveness gap.</w:t>
      </w:r>
    </w:p>
    <w:sectPr>
      <w:pgSz w:w="12240" w:h="15840" w:orient="portrait"/>
      <w:pgMar w:top="1040" w:right="1240" w:bottom="104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4"/>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0F1729"/>
      <w:sz w:val="29"/>
      <w:szCs w:val="29"/>
    </w:rPr>
  </w:style>
  <w:style w:type="paragraph" w:styleId="Heading2">
    <w:name w:val="Heading 2"/>
    <w:basedOn w:val="Normal"/>
    <w:next w:val="Normal"/>
    <w:qFormat/>
    <w:pPr>
      <w:spacing w:after="110" w:before="240"/>
      <w:outlineLvl w:val="1"/>
    </w:pPr>
    <w:rPr>
      <w:rFonts w:ascii="Calibri" w:cs="Calibri" w:eastAsia="Calibri" w:hAnsi="Calibri"/>
      <w:b/>
      <w:bCs/>
      <w:color w:val="0F17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2026-07-30T01:36:25.269Z</dcterms:created>
  <dcterms:modified xsi:type="dcterms:W3CDTF">2026-07-30T01:36:25.269Z</dcterms:modified>
</cp:coreProperties>
</file>

<file path=docProps/custom.xml><?xml version="1.0" encoding="utf-8"?>
<Properties xmlns="http://schemas.openxmlformats.org/officeDocument/2006/custom-properties" xmlns:vt="http://schemas.openxmlformats.org/officeDocument/2006/docPropsVTypes"/>
</file>