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Display" w:hAnsi="Aptos Display"/>
          <w:b/>
          <w:color w:val="17324D"/>
          <w:sz w:val="58"/>
        </w:rPr>
        <w:t>Kindredly + a Foundation for</w:t>
        <w:br/>
        <w:t>Human-Centered Digital Autonomy</w:t>
      </w:r>
    </w:p>
    <w:p>
      <w:pPr>
        <w:pStyle w:val="SubtitleCustom"/>
        <w:spacing w:before="180" w:after="440"/>
      </w:pPr>
      <w:r>
        <w:rPr>
          <w:rFonts w:ascii="Aptos" w:hAnsi="Aptos"/>
          <w:color w:val="4D5B66"/>
          <w:sz w:val="26"/>
        </w:rPr>
        <w:t>Concept summary, strategic synthesis, and first-step roadmap</w:t>
      </w:r>
    </w:p>
    <w:tbl>
      <w:tblPr>
        <w:tblW w:type="auto" w:w="0"/>
        <w:jc w:val="center"/>
        <w:tblLayout w:type="autofit"/>
        <w:tblLook w:firstColumn="1" w:firstRow="1" w:lastColumn="0" w:lastRow="0" w:noHBand="0" w:noVBand="1" w:val="04A0"/>
      </w:tblPr>
      <w:tblGrid>
        <w:gridCol w:w="9878"/>
      </w:tblGrid>
      <w:tr>
        <w:trPr>
          <w:cantSplit/>
        </w:trPr>
        <w:tc>
          <w:tcPr>
            <w:tcW w:type="dxa" w:w="9878"/>
            <w:shd w:fill="EEF3F5"/>
            <w:tcMar>
              <w:top w:w="120" w:type="dxa"/>
              <w:start w:w="150" w:type="dxa"/>
              <w:bottom w:w="120" w:type="dxa"/>
              <w:end w:w="150" w:type="dxa"/>
            </w:tcMar>
            <w:vAlign w:val="top"/>
          </w:tcPr>
          <w:p>
            <w:pPr>
              <w:spacing w:after="80"/>
            </w:pPr>
            <w:r>
              <w:rPr>
                <w:rFonts w:ascii="Aptos" w:hAnsi="Aptos"/>
                <w:b/>
                <w:color w:val="2F7D7A"/>
                <w:sz w:val="21"/>
              </w:rPr>
              <w:t>Working thesis</w:t>
            </w:r>
          </w:p>
          <w:p>
            <w:pPr>
              <w:spacing w:after="0"/>
            </w:pPr>
            <w:r>
              <w:rPr>
                <w:rFonts w:ascii="Aptos" w:hAnsi="Aptos"/>
                <w:color w:val="1A1A1A"/>
                <w:sz w:val="20"/>
              </w:rPr>
              <w:t>Build a public-interest technology ecosystem that helps people understand the world, make better decisions, live according to their values, and retain control over their digital lives—without surveillance-driven lock-in.</w:t>
            </w:r>
          </w:p>
        </w:tc>
      </w:tr>
    </w:tbl>
    <w:p>
      <w:pPr>
        <w:spacing w:after="0"/>
      </w:pPr>
    </w:p>
    <w:p>
      <w:pPr>
        <w:spacing w:before="440"/>
      </w:pPr>
      <w:r>
        <w:rPr>
          <w:rFonts w:ascii="Aptos" w:hAnsi="Aptos"/>
          <w:color w:val="4D5B66"/>
          <w:sz w:val="19"/>
        </w:rPr>
        <w:t>Prepared from founder concept notes • August 31, 2026</w:t>
      </w:r>
    </w:p>
    <w:p>
      <w:pPr>
        <w:spacing w:before="1000"/>
      </w:pPr>
      <w:r>
        <w:rPr>
          <w:rFonts w:ascii="Aptos" w:hAnsi="Aptos"/>
          <w:b/>
          <w:color w:val="A7792B"/>
          <w:sz w:val="17"/>
        </w:rPr>
        <w:t>STATUS</w:t>
      </w:r>
    </w:p>
    <w:p>
      <w:r>
        <w:rPr>
          <w:rFonts w:ascii="Aptos" w:hAnsi="Aptos"/>
          <w:i/>
          <w:color w:val="4D5B66"/>
          <w:sz w:val="20"/>
        </w:rPr>
        <w:t>Working document for iteration—not a final mission statement, legal structure, or product roadmap.</w:t>
      </w:r>
    </w:p>
    <w:p>
      <w:r>
        <w:br w:type="page"/>
      </w:r>
    </w:p>
    <w:p>
      <w:pPr>
        <w:pStyle w:val="Heading1"/>
      </w:pPr>
      <w:r>
        <w:t>1. Executive summary</w:t>
      </w:r>
    </w:p>
    <w:p>
      <w:r>
        <w:rPr>
          <w:rFonts w:ascii="Aptos" w:hAnsi="Aptos"/>
        </w:rPr>
        <w:t xml:space="preserve">The ideas in the source notes are more unified than they initially appear. They center on one problem: </w:t>
      </w:r>
      <w:r>
        <w:rPr>
          <w:rFonts w:ascii="Aptos" w:hAnsi="Aptos"/>
          <w:b/>
          <w:color w:val="17324D"/>
        </w:rPr>
        <w:t>modern digital life weakens human agency.</w:t>
      </w:r>
      <w:r>
        <w:rPr>
          <w:rFonts w:ascii="Aptos" w:hAnsi="Aptos"/>
        </w:rPr>
        <w:t xml:space="preserve"> People face too much information, opaque incentives, manipulative interfaces, corporate lock-in, weak provenance, and growing dependence on cloud systems. The proposed foundation would build open technology, standards, education, and public-interest data systems that restore the ability to understand, choose, and act deliberately.</w:t>
      </w:r>
    </w:p>
    <w:p>
      <w:r>
        <w:rPr>
          <w:rFonts w:ascii="Aptos" w:hAnsi="Aptos"/>
          <w:b/>
        </w:rPr>
        <w:t xml:space="preserve">Kindredly can remain the human-facing flagship: </w:t>
      </w:r>
      <w:r>
        <w:rPr>
          <w:rFonts w:ascii="Aptos" w:hAnsi="Aptos"/>
        </w:rPr>
        <w:t>a private, family-centered digital home and a calmer starting point for the web. The broader foundation can hold the ideas that do not naturally fit inside Kindredly: information provenance, credibility and forecasting accountability, critical-thinking education, ethical/impact indexing, public situational awareness, open alternatives to extractive software ecosystems, and resilient local-first AI/computing.</w:t>
      </w:r>
    </w:p>
    <w:tbl>
      <w:tblPr>
        <w:tblW w:type="auto" w:w="0"/>
        <w:jc w:val="center"/>
        <w:tblLayout w:type="autofit"/>
        <w:tblLook w:firstColumn="1" w:firstRow="1" w:lastColumn="0" w:lastRow="0" w:noHBand="0" w:noVBand="1" w:val="04A0"/>
      </w:tblPr>
      <w:tblGrid>
        <w:gridCol w:w="9878"/>
      </w:tblGrid>
      <w:tr>
        <w:trPr>
          <w:cantSplit/>
        </w:trPr>
        <w:tc>
          <w:tcPr>
            <w:tcW w:type="dxa" w:w="9878"/>
            <w:shd w:fill="F2F7F6"/>
            <w:tcMar>
              <w:top w:w="120" w:type="dxa"/>
              <w:start w:w="150" w:type="dxa"/>
              <w:bottom w:w="120" w:type="dxa"/>
              <w:end w:w="150" w:type="dxa"/>
            </w:tcMar>
            <w:vAlign w:val="top"/>
          </w:tcPr>
          <w:p>
            <w:pPr>
              <w:spacing w:after="80"/>
            </w:pPr>
            <w:r>
              <w:rPr>
                <w:rFonts w:ascii="Aptos" w:hAnsi="Aptos"/>
                <w:b/>
                <w:color w:val="2F7D7A"/>
                <w:sz w:val="21"/>
              </w:rPr>
              <w:t>Core strategic recommendation</w:t>
            </w:r>
          </w:p>
          <w:p>
            <w:pPr>
              <w:spacing w:after="0"/>
            </w:pPr>
            <w:r>
              <w:rPr>
                <w:rFonts w:ascii="Aptos" w:hAnsi="Aptos"/>
                <w:color w:val="1A1A1A"/>
                <w:sz w:val="20"/>
              </w:rPr>
              <w:t>Do not launch these as seven unrelated projects. Treat them as a portfolio built on a shared public-interest substrate: open data, provenance, transparent scoring, privacy-preserving preferences, local-first software, interoperability, and community governance.</w:t>
            </w:r>
          </w:p>
        </w:tc>
      </w:tr>
    </w:tbl>
    <w:p>
      <w:pPr>
        <w:spacing w:after="0"/>
      </w:pPr>
    </w:p>
    <w:p>
      <w:pPr>
        <w:pStyle w:val="Heading2"/>
      </w:pPr>
      <w:r>
        <w:t>The foundation’s job in one sentence</w:t>
      </w:r>
    </w:p>
    <w:p>
      <w:r>
        <w:rPr>
          <w:rFonts w:ascii="Aptos" w:hAnsi="Aptos"/>
          <w:b/>
          <w:color w:val="17324D"/>
        </w:rPr>
        <w:t>Give people trustworthy tools and open infrastructure to understand what is happening, decide what matters, choose according to their values, and remain digitally independent.</w:t>
      </w:r>
    </w:p>
    <w:p>
      <w:pPr>
        <w:pStyle w:val="Heading2"/>
      </w:pPr>
      <w:r>
        <w:t>The product logic</w:t>
      </w:r>
    </w:p>
    <w:p>
      <w:pPr>
        <w:pStyle w:val="ListBullet"/>
        <w:spacing w:after="40"/>
        <w:ind w:left="259"/>
      </w:pPr>
      <w:r>
        <w:rPr>
          <w:rFonts w:ascii="Aptos" w:hAnsi="Aptos"/>
          <w:color w:val="1A1A1A"/>
        </w:rPr>
        <w:t>Protect agency — reduce surveillance, manipulation, addiction loops, and lock-in.</w:t>
      </w:r>
    </w:p>
    <w:p>
      <w:pPr>
        <w:pStyle w:val="ListBullet"/>
        <w:spacing w:after="40"/>
        <w:ind w:left="259"/>
      </w:pPr>
      <w:r>
        <w:rPr>
          <w:rFonts w:ascii="Aptos" w:hAnsi="Aptos"/>
          <w:color w:val="1A1A1A"/>
        </w:rPr>
        <w:t>Improve understanding — make claims, sources, provenance, credibility, uncertainty, and past predictions inspectable.</w:t>
      </w:r>
    </w:p>
    <w:p>
      <w:pPr>
        <w:pStyle w:val="ListBullet"/>
        <w:spacing w:after="40"/>
        <w:ind w:left="259"/>
      </w:pPr>
      <w:r>
        <w:rPr>
          <w:rFonts w:ascii="Aptos" w:hAnsi="Aptos"/>
          <w:color w:val="1A1A1A"/>
        </w:rPr>
        <w:t>Teach reasoning — build critical-thinking and digital-citizenship skills for children, families, and adults.</w:t>
      </w:r>
    </w:p>
    <w:p>
      <w:pPr>
        <w:pStyle w:val="ListBullet"/>
        <w:spacing w:after="40"/>
        <w:ind w:left="259"/>
      </w:pPr>
      <w:r>
        <w:rPr>
          <w:rFonts w:ascii="Aptos" w:hAnsi="Aptos"/>
          <w:color w:val="1A1A1A"/>
        </w:rPr>
        <w:t>Support values-aligned action — make the ethical consequences of purchases, platforms, votes, and attention easier to see.</w:t>
      </w:r>
    </w:p>
    <w:p>
      <w:pPr>
        <w:pStyle w:val="ListBullet"/>
        <w:spacing w:after="40"/>
        <w:ind w:left="259"/>
      </w:pPr>
      <w:r>
        <w:rPr>
          <w:rFonts w:ascii="Aptos" w:hAnsi="Aptos"/>
          <w:color w:val="1A1A1A"/>
        </w:rPr>
        <w:t>Surface what matters — provide a personalized, scale-aware picture of urgent local and global events.</w:t>
      </w:r>
    </w:p>
    <w:p>
      <w:pPr>
        <w:pStyle w:val="ListBullet"/>
        <w:spacing w:after="40"/>
        <w:ind w:left="259"/>
      </w:pPr>
      <w:r>
        <w:rPr>
          <w:rFonts w:ascii="Aptos" w:hAnsi="Aptos"/>
          <w:color w:val="1A1A1A"/>
        </w:rPr>
        <w:t>Preserve resilience — keep useful knowledge and capable AI available locally when cloud access is unwanted or unavailable.</w:t>
      </w:r>
    </w:p>
    <w:p>
      <w:pPr>
        <w:pStyle w:val="Heading1"/>
      </w:pPr>
      <w:r>
        <w:t>2. The unifying concept</w:t>
      </w:r>
    </w:p>
    <w:p>
      <w:pPr>
        <w:pStyle w:val="Heading2"/>
      </w:pPr>
      <w:r>
        <w:t>From “ecosystem-free” to digital autonomy</w:t>
      </w:r>
    </w:p>
    <w:p>
      <w:r>
        <w:rPr>
          <w:rFonts w:ascii="Aptos" w:hAnsi="Aptos"/>
        </w:rPr>
        <w:t>“Ecosystem-free” captures the frustration, but the positive idea is stronger than the negative one. The concept is not that people should have no ecosystem; it is that their digital life should not be owned by one vendor.</w:t>
      </w:r>
    </w:p>
    <w:p>
      <w:r>
        <w:rPr>
          <w:rFonts w:ascii="Aptos" w:hAnsi="Aptos"/>
          <w:b/>
          <w:color w:val="2F7D7A"/>
        </w:rPr>
        <w:t xml:space="preserve">Digital autonomy — </w:t>
      </w:r>
      <w:r>
        <w:rPr>
          <w:rFonts w:ascii="Aptos" w:hAnsi="Aptos"/>
        </w:rPr>
        <w:t>People remain in control of their tools, data, identity, attention, and choices.</w:t>
      </w:r>
    </w:p>
    <w:p>
      <w:r>
        <w:rPr>
          <w:rFonts w:ascii="Aptos" w:hAnsi="Aptos"/>
          <w:b/>
          <w:color w:val="2F7D7A"/>
        </w:rPr>
        <w:t xml:space="preserve">Vendor-independent digital life — </w:t>
      </w:r>
      <w:r>
        <w:rPr>
          <w:rFonts w:ascii="Aptos" w:hAnsi="Aptos"/>
        </w:rPr>
        <w:t>Services can be replaced without losing the user’s history or way of working.</w:t>
      </w:r>
    </w:p>
    <w:p>
      <w:r>
        <w:rPr>
          <w:rFonts w:ascii="Aptos" w:hAnsi="Aptos"/>
          <w:b/>
          <w:color w:val="2F7D7A"/>
        </w:rPr>
        <w:t xml:space="preserve">Interoperable personal computing — </w:t>
      </w:r>
      <w:r>
        <w:rPr>
          <w:rFonts w:ascii="Aptos" w:hAnsi="Aptos"/>
        </w:rPr>
        <w:t>The user’s home layer connects interchangeable tools rather than becoming another lock-in.</w:t>
      </w:r>
    </w:p>
    <w:p>
      <w:r>
        <w:rPr>
          <w:rFonts w:ascii="Aptos" w:hAnsi="Aptos"/>
          <w:b/>
          <w:color w:val="2F7D7A"/>
        </w:rPr>
        <w:t xml:space="preserve">Open digital commons — </w:t>
      </w:r>
      <w:r>
        <w:rPr>
          <w:rFonts w:ascii="Aptos" w:hAnsi="Aptos"/>
        </w:rPr>
        <w:t>Core software, standards, public-interest data, and knowledge infrastructure are maintained for shared benefit.</w:t>
      </w:r>
    </w:p>
    <w:p>
      <w:r>
        <w:rPr>
          <w:rFonts w:ascii="Aptos" w:hAnsi="Aptos"/>
          <w:b/>
          <w:color w:val="2F7D7A"/>
        </w:rPr>
        <w:t xml:space="preserve">User-controlled technology — </w:t>
      </w:r>
      <w:r>
        <w:rPr>
          <w:rFonts w:ascii="Aptos" w:hAnsi="Aptos"/>
        </w:rPr>
        <w:t>Optimization is for the user’s goals rather than engagement, advertising, or data extraction.</w:t>
      </w:r>
    </w:p>
    <w:tbl>
      <w:tblPr>
        <w:tblW w:type="auto" w:w="0"/>
        <w:jc w:val="center"/>
        <w:tblLayout w:type="autofit"/>
        <w:tblLook w:firstColumn="1" w:firstRow="1" w:lastColumn="0" w:lastRow="0" w:noHBand="0" w:noVBand="1" w:val="04A0"/>
      </w:tblPr>
      <w:tblGrid>
        <w:gridCol w:w="9878"/>
      </w:tblGrid>
      <w:tr>
        <w:trPr>
          <w:cantSplit/>
        </w:trPr>
        <w:tc>
          <w:tcPr>
            <w:tcW w:type="dxa" w:w="9878"/>
            <w:shd w:fill="F7F9FA"/>
            <w:tcMar>
              <w:top w:w="120" w:type="dxa"/>
              <w:start w:w="150" w:type="dxa"/>
              <w:bottom w:w="120" w:type="dxa"/>
              <w:end w:w="150" w:type="dxa"/>
            </w:tcMar>
            <w:vAlign w:val="top"/>
          </w:tcPr>
          <w:p>
            <w:pPr>
              <w:spacing w:after="80"/>
            </w:pPr>
            <w:r>
              <w:rPr>
                <w:rFonts w:ascii="Aptos" w:hAnsi="Aptos"/>
                <w:b/>
                <w:color w:val="A7792B"/>
                <w:sz w:val="21"/>
              </w:rPr>
              <w:t>A useful framing</w:t>
            </w:r>
          </w:p>
          <w:p>
            <w:pPr>
              <w:spacing w:after="0"/>
            </w:pPr>
            <w:r>
              <w:rPr>
                <w:rFonts w:ascii="Aptos" w:hAnsi="Aptos"/>
                <w:color w:val="1A1A1A"/>
                <w:sz w:val="20"/>
              </w:rPr>
              <w:t>Kindredly is the home. The foundation is the commons underneath and around the home.</w:t>
            </w:r>
          </w:p>
        </w:tc>
      </w:tr>
    </w:tbl>
    <w:p>
      <w:pPr>
        <w:spacing w:after="0"/>
      </w:pPr>
    </w:p>
    <w:p>
      <w:pPr>
        <w:pStyle w:val="Heading2"/>
      </w:pPr>
      <w:r>
        <w:t>A shared decision-making chain</w:t>
      </w:r>
    </w:p>
    <w:tbl>
      <w:tblPr>
        <w:tblStyle w:val="TableGrid"/>
        <w:tblW w:type="auto" w:w="0"/>
        <w:jc w:val="center"/>
        <w:tblLook w:firstColumn="1" w:firstRow="1" w:lastColumn="0" w:lastRow="0" w:noHBand="0" w:noVBand="1" w:val="04A0"/>
      </w:tblPr>
      <w:tblGrid>
        <w:gridCol w:w="3293"/>
        <w:gridCol w:w="3293"/>
        <w:gridCol w:w="3293"/>
      </w:tblGrid>
      <w:tr>
        <w:trPr>
          <w:cantSplit/>
          <w:tblHeader/>
        </w:trPr>
        <w:tc>
          <w:tcPr>
            <w:tcW w:type="dxa" w:w="3293"/>
            <w:shd w:fill="17324D"/>
            <w:tcMar>
              <w:top w:w="90" w:type="dxa"/>
              <w:start w:w="90" w:type="dxa"/>
              <w:bottom w:w="90" w:type="dxa"/>
              <w:end w:w="90" w:type="dxa"/>
            </w:tcMar>
            <w:vAlign w:val="top"/>
          </w:tcPr>
          <w:p>
            <w:r>
              <w:rPr>
                <w:rFonts w:ascii="Aptos" w:hAnsi="Aptos"/>
                <w:b/>
                <w:color w:val="FFFFFF"/>
                <w:sz w:val="19"/>
              </w:rPr>
              <w:t>Stage</w:t>
            </w:r>
          </w:p>
        </w:tc>
        <w:tc>
          <w:tcPr>
            <w:tcW w:type="dxa" w:w="3293"/>
            <w:shd w:fill="17324D"/>
            <w:tcMar>
              <w:top w:w="90" w:type="dxa"/>
              <w:start w:w="90" w:type="dxa"/>
              <w:bottom w:w="90" w:type="dxa"/>
              <w:end w:w="90" w:type="dxa"/>
            </w:tcMar>
            <w:vAlign w:val="top"/>
          </w:tcPr>
          <w:p>
            <w:r>
              <w:rPr>
                <w:rFonts w:ascii="Aptos" w:hAnsi="Aptos"/>
                <w:b/>
                <w:color w:val="FFFFFF"/>
                <w:sz w:val="19"/>
              </w:rPr>
              <w:t>Human need</w:t>
            </w:r>
          </w:p>
        </w:tc>
        <w:tc>
          <w:tcPr>
            <w:tcW w:type="dxa" w:w="3293"/>
            <w:shd w:fill="17324D"/>
            <w:tcMar>
              <w:top w:w="90" w:type="dxa"/>
              <w:start w:w="90" w:type="dxa"/>
              <w:bottom w:w="90" w:type="dxa"/>
              <w:end w:w="90" w:type="dxa"/>
            </w:tcMar>
            <w:vAlign w:val="top"/>
          </w:tcPr>
          <w:p>
            <w:r>
              <w:rPr>
                <w:rFonts w:ascii="Aptos" w:hAnsi="Aptos"/>
                <w:b/>
                <w:color w:val="FFFFFF"/>
                <w:sz w:val="19"/>
              </w:rPr>
              <w:t>Foundation / product response</w:t>
            </w:r>
          </w:p>
        </w:tc>
      </w:tr>
      <w:tr>
        <w:trPr>
          <w:cantSplit/>
        </w:trPr>
        <w:tc>
          <w:tcPr>
            <w:tcW w:type="dxa" w:w="3293"/>
            <w:tcMar>
              <w:top w:w="90" w:type="dxa"/>
              <w:start w:w="90" w:type="dxa"/>
              <w:bottom w:w="90" w:type="dxa"/>
              <w:end w:w="90" w:type="dxa"/>
            </w:tcMar>
            <w:vAlign w:val="top"/>
          </w:tcPr>
          <w:p>
            <w:r>
              <w:rPr>
                <w:rFonts w:ascii="Aptos" w:hAnsi="Aptos"/>
                <w:b/>
                <w:color w:val="1A1A1A"/>
                <w:sz w:val="18"/>
              </w:rPr>
              <w:t>1. Notice</w:t>
            </w:r>
          </w:p>
        </w:tc>
        <w:tc>
          <w:tcPr>
            <w:tcW w:type="dxa" w:w="3293"/>
            <w:tcMar>
              <w:top w:w="90" w:type="dxa"/>
              <w:start w:w="90" w:type="dxa"/>
              <w:bottom w:w="90" w:type="dxa"/>
              <w:end w:w="90" w:type="dxa"/>
            </w:tcMar>
            <w:vAlign w:val="top"/>
          </w:tcPr>
          <w:p>
            <w:r>
              <w:rPr>
                <w:rFonts w:ascii="Aptos" w:hAnsi="Aptos"/>
                <w:b w:val="0"/>
                <w:color w:val="1A1A1A"/>
                <w:sz w:val="18"/>
              </w:rPr>
              <w:t>What deserves my attention?</w:t>
            </w:r>
          </w:p>
        </w:tc>
        <w:tc>
          <w:tcPr>
            <w:tcW w:type="dxa" w:w="3293"/>
            <w:tcMar>
              <w:top w:w="90" w:type="dxa"/>
              <w:start w:w="90" w:type="dxa"/>
              <w:bottom w:w="90" w:type="dxa"/>
              <w:end w:w="90" w:type="dxa"/>
            </w:tcMar>
            <w:vAlign w:val="top"/>
          </w:tcPr>
          <w:p>
            <w:r>
              <w:rPr>
                <w:rFonts w:ascii="Aptos" w:hAnsi="Aptos"/>
                <w:b w:val="0"/>
                <w:color w:val="1A1A1A"/>
                <w:sz w:val="18"/>
              </w:rPr>
              <w:t>A scale-aware “what matters now” dashboard.</w:t>
            </w:r>
          </w:p>
        </w:tc>
      </w:tr>
      <w:tr>
        <w:trPr>
          <w:cantSplit/>
        </w:trPr>
        <w:tc>
          <w:tcPr>
            <w:tcW w:type="dxa" w:w="3293"/>
            <w:tcMar>
              <w:top w:w="90" w:type="dxa"/>
              <w:start w:w="90" w:type="dxa"/>
              <w:bottom w:w="90" w:type="dxa"/>
              <w:end w:w="90" w:type="dxa"/>
            </w:tcMar>
            <w:shd w:fill="F8FAFB"/>
            <w:vAlign w:val="top"/>
          </w:tcPr>
          <w:p>
            <w:r>
              <w:rPr>
                <w:rFonts w:ascii="Aptos" w:hAnsi="Aptos"/>
                <w:b/>
                <w:color w:val="1A1A1A"/>
                <w:sz w:val="18"/>
              </w:rPr>
              <w:t>2. Verify</w:t>
            </w:r>
          </w:p>
        </w:tc>
        <w:tc>
          <w:tcPr>
            <w:tcW w:type="dxa" w:w="3293"/>
            <w:tcMar>
              <w:top w:w="90" w:type="dxa"/>
              <w:start w:w="90" w:type="dxa"/>
              <w:bottom w:w="90" w:type="dxa"/>
              <w:end w:w="90" w:type="dxa"/>
            </w:tcMar>
            <w:shd w:fill="F8FAFB"/>
            <w:vAlign w:val="top"/>
          </w:tcPr>
          <w:p>
            <w:r>
              <w:rPr>
                <w:rFonts w:ascii="Aptos" w:hAnsi="Aptos"/>
                <w:b w:val="0"/>
                <w:color w:val="1A1A1A"/>
                <w:sz w:val="18"/>
              </w:rPr>
              <w:t>Is this claim real and where did it come from?</w:t>
            </w:r>
          </w:p>
        </w:tc>
        <w:tc>
          <w:tcPr>
            <w:tcW w:type="dxa" w:w="3293"/>
            <w:tcMar>
              <w:top w:w="90" w:type="dxa"/>
              <w:start w:w="90" w:type="dxa"/>
              <w:bottom w:w="90" w:type="dxa"/>
              <w:end w:w="90" w:type="dxa"/>
            </w:tcMar>
            <w:shd w:fill="F8FAFB"/>
            <w:vAlign w:val="top"/>
          </w:tcPr>
          <w:p>
            <w:r>
              <w:rPr>
                <w:rFonts w:ascii="Aptos" w:hAnsi="Aptos"/>
                <w:b w:val="0"/>
                <w:color w:val="1A1A1A"/>
                <w:sz w:val="18"/>
              </w:rPr>
              <w:t>Provenance graph, source tracing, claim lineage, evidence links.</w:t>
            </w:r>
          </w:p>
        </w:tc>
      </w:tr>
      <w:tr>
        <w:trPr>
          <w:cantSplit/>
        </w:trPr>
        <w:tc>
          <w:tcPr>
            <w:tcW w:type="dxa" w:w="3293"/>
            <w:tcMar>
              <w:top w:w="90" w:type="dxa"/>
              <w:start w:w="90" w:type="dxa"/>
              <w:bottom w:w="90" w:type="dxa"/>
              <w:end w:w="90" w:type="dxa"/>
            </w:tcMar>
            <w:vAlign w:val="top"/>
          </w:tcPr>
          <w:p>
            <w:r>
              <w:rPr>
                <w:rFonts w:ascii="Aptos" w:hAnsi="Aptos"/>
                <w:b/>
                <w:color w:val="1A1A1A"/>
                <w:sz w:val="18"/>
              </w:rPr>
              <w:t>3. Judge</w:t>
            </w:r>
          </w:p>
        </w:tc>
        <w:tc>
          <w:tcPr>
            <w:tcW w:type="dxa" w:w="3293"/>
            <w:tcMar>
              <w:top w:w="90" w:type="dxa"/>
              <w:start w:w="90" w:type="dxa"/>
              <w:bottom w:w="90" w:type="dxa"/>
              <w:end w:w="90" w:type="dxa"/>
            </w:tcMar>
            <w:vAlign w:val="top"/>
          </w:tcPr>
          <w:p>
            <w:r>
              <w:rPr>
                <w:rFonts w:ascii="Aptos" w:hAnsi="Aptos"/>
                <w:b w:val="0"/>
                <w:color w:val="1A1A1A"/>
                <w:sz w:val="18"/>
              </w:rPr>
              <w:t>How credible is it?</w:t>
            </w:r>
          </w:p>
        </w:tc>
        <w:tc>
          <w:tcPr>
            <w:tcW w:type="dxa" w:w="3293"/>
            <w:tcMar>
              <w:top w:w="90" w:type="dxa"/>
              <w:start w:w="90" w:type="dxa"/>
              <w:bottom w:w="90" w:type="dxa"/>
              <w:end w:w="90" w:type="dxa"/>
            </w:tcMar>
            <w:vAlign w:val="top"/>
          </w:tcPr>
          <w:p>
            <w:r>
              <w:rPr>
                <w:rFonts w:ascii="Aptos" w:hAnsi="Aptos"/>
                <w:b w:val="0"/>
                <w:color w:val="1A1A1A"/>
                <w:sz w:val="18"/>
              </w:rPr>
              <w:t>Transparent track records, corrections, forecast performance, uncertainty.</w:t>
            </w:r>
          </w:p>
        </w:tc>
      </w:tr>
      <w:tr>
        <w:trPr>
          <w:cantSplit/>
        </w:trPr>
        <w:tc>
          <w:tcPr>
            <w:tcW w:type="dxa" w:w="3293"/>
            <w:tcMar>
              <w:top w:w="90" w:type="dxa"/>
              <w:start w:w="90" w:type="dxa"/>
              <w:bottom w:w="90" w:type="dxa"/>
              <w:end w:w="90" w:type="dxa"/>
            </w:tcMar>
            <w:shd w:fill="F8FAFB"/>
            <w:vAlign w:val="top"/>
          </w:tcPr>
          <w:p>
            <w:r>
              <w:rPr>
                <w:rFonts w:ascii="Aptos" w:hAnsi="Aptos"/>
                <w:b/>
                <w:color w:val="1A1A1A"/>
                <w:sz w:val="18"/>
              </w:rPr>
              <w:t>4. Reason</w:t>
            </w:r>
          </w:p>
        </w:tc>
        <w:tc>
          <w:tcPr>
            <w:tcW w:type="dxa" w:w="3293"/>
            <w:tcMar>
              <w:top w:w="90" w:type="dxa"/>
              <w:start w:w="90" w:type="dxa"/>
              <w:bottom w:w="90" w:type="dxa"/>
              <w:end w:w="90" w:type="dxa"/>
            </w:tcMar>
            <w:shd w:fill="F8FAFB"/>
            <w:vAlign w:val="top"/>
          </w:tcPr>
          <w:p>
            <w:r>
              <w:rPr>
                <w:rFonts w:ascii="Aptos" w:hAnsi="Aptos"/>
                <w:b w:val="0"/>
                <w:color w:val="1A1A1A"/>
                <w:sz w:val="18"/>
              </w:rPr>
              <w:t>Am I thinking about this well?</w:t>
            </w:r>
          </w:p>
        </w:tc>
        <w:tc>
          <w:tcPr>
            <w:tcW w:type="dxa" w:w="3293"/>
            <w:tcMar>
              <w:top w:w="90" w:type="dxa"/>
              <w:start w:w="90" w:type="dxa"/>
              <w:bottom w:w="90" w:type="dxa"/>
              <w:end w:w="90" w:type="dxa"/>
            </w:tcMar>
            <w:shd w:fill="F8FAFB"/>
            <w:vAlign w:val="top"/>
          </w:tcPr>
          <w:p>
            <w:r>
              <w:rPr>
                <w:rFonts w:ascii="Aptos" w:hAnsi="Aptos"/>
                <w:b w:val="0"/>
                <w:color w:val="1A1A1A"/>
                <w:sz w:val="18"/>
              </w:rPr>
              <w:t>Critical-thinking curriculum, statistical literacy, digital citizenship.</w:t>
            </w:r>
          </w:p>
        </w:tc>
      </w:tr>
      <w:tr>
        <w:trPr>
          <w:cantSplit/>
        </w:trPr>
        <w:tc>
          <w:tcPr>
            <w:tcW w:type="dxa" w:w="3293"/>
            <w:tcMar>
              <w:top w:w="90" w:type="dxa"/>
              <w:start w:w="90" w:type="dxa"/>
              <w:bottom w:w="90" w:type="dxa"/>
              <w:end w:w="90" w:type="dxa"/>
            </w:tcMar>
            <w:vAlign w:val="top"/>
          </w:tcPr>
          <w:p>
            <w:r>
              <w:rPr>
                <w:rFonts w:ascii="Aptos" w:hAnsi="Aptos"/>
                <w:b/>
                <w:color w:val="1A1A1A"/>
                <w:sz w:val="18"/>
              </w:rPr>
              <w:t>5. Choose</w:t>
            </w:r>
          </w:p>
        </w:tc>
        <w:tc>
          <w:tcPr>
            <w:tcW w:type="dxa" w:w="3293"/>
            <w:tcMar>
              <w:top w:w="90" w:type="dxa"/>
              <w:start w:w="90" w:type="dxa"/>
              <w:bottom w:w="90" w:type="dxa"/>
              <w:end w:w="90" w:type="dxa"/>
            </w:tcMar>
            <w:vAlign w:val="top"/>
          </w:tcPr>
          <w:p>
            <w:r>
              <w:rPr>
                <w:rFonts w:ascii="Aptos" w:hAnsi="Aptos"/>
                <w:b w:val="0"/>
                <w:color w:val="1A1A1A"/>
                <w:sz w:val="18"/>
              </w:rPr>
              <w:t>What action matches my values?</w:t>
            </w:r>
          </w:p>
        </w:tc>
        <w:tc>
          <w:tcPr>
            <w:tcW w:type="dxa" w:w="3293"/>
            <w:tcMar>
              <w:top w:w="90" w:type="dxa"/>
              <w:start w:w="90" w:type="dxa"/>
              <w:bottom w:w="90" w:type="dxa"/>
              <w:end w:w="90" w:type="dxa"/>
            </w:tcMar>
            <w:vAlign w:val="top"/>
          </w:tcPr>
          <w:p>
            <w:r>
              <w:rPr>
                <w:rFonts w:ascii="Aptos" w:hAnsi="Aptos"/>
                <w:b w:val="0"/>
                <w:color w:val="1A1A1A"/>
                <w:sz w:val="18"/>
              </w:rPr>
              <w:t>Ethical/impact index, alternatives, configurable value weights.</w:t>
            </w:r>
          </w:p>
        </w:tc>
      </w:tr>
      <w:tr>
        <w:trPr>
          <w:cantSplit/>
        </w:trPr>
        <w:tc>
          <w:tcPr>
            <w:tcW w:type="dxa" w:w="3293"/>
            <w:tcMar>
              <w:top w:w="90" w:type="dxa"/>
              <w:start w:w="90" w:type="dxa"/>
              <w:bottom w:w="90" w:type="dxa"/>
              <w:end w:w="90" w:type="dxa"/>
            </w:tcMar>
            <w:shd w:fill="F8FAFB"/>
            <w:vAlign w:val="top"/>
          </w:tcPr>
          <w:p>
            <w:r>
              <w:rPr>
                <w:rFonts w:ascii="Aptos" w:hAnsi="Aptos"/>
                <w:b/>
                <w:color w:val="1A1A1A"/>
                <w:sz w:val="18"/>
              </w:rPr>
              <w:t>6. Act</w:t>
            </w:r>
          </w:p>
        </w:tc>
        <w:tc>
          <w:tcPr>
            <w:tcW w:type="dxa" w:w="3293"/>
            <w:tcMar>
              <w:top w:w="90" w:type="dxa"/>
              <w:start w:w="90" w:type="dxa"/>
              <w:bottom w:w="90" w:type="dxa"/>
              <w:end w:w="90" w:type="dxa"/>
            </w:tcMar>
            <w:shd w:fill="F8FAFB"/>
            <w:vAlign w:val="top"/>
          </w:tcPr>
          <w:p>
            <w:r>
              <w:rPr>
                <w:rFonts w:ascii="Aptos" w:hAnsi="Aptos"/>
                <w:b w:val="0"/>
                <w:color w:val="1A1A1A"/>
                <w:sz w:val="18"/>
              </w:rPr>
              <w:t>How do I switch or behave differently?</w:t>
            </w:r>
          </w:p>
        </w:tc>
        <w:tc>
          <w:tcPr>
            <w:tcW w:type="dxa" w:w="3293"/>
            <w:tcMar>
              <w:top w:w="90" w:type="dxa"/>
              <w:start w:w="90" w:type="dxa"/>
              <w:bottom w:w="90" w:type="dxa"/>
              <w:end w:w="90" w:type="dxa"/>
            </w:tcMar>
            <w:shd w:fill="F8FAFB"/>
            <w:vAlign w:val="top"/>
          </w:tcPr>
          <w:p>
            <w:r>
              <w:rPr>
                <w:rFonts w:ascii="Aptos" w:hAnsi="Aptos"/>
                <w:b w:val="0"/>
                <w:color w:val="1A1A1A"/>
                <w:sz w:val="18"/>
              </w:rPr>
              <w:t>Kindredly guidance, portable tools, open alternatives, web cleanup layer.</w:t>
            </w:r>
          </w:p>
        </w:tc>
      </w:tr>
      <w:tr>
        <w:trPr>
          <w:cantSplit/>
        </w:trPr>
        <w:tc>
          <w:tcPr>
            <w:tcW w:type="dxa" w:w="3293"/>
            <w:tcMar>
              <w:top w:w="90" w:type="dxa"/>
              <w:start w:w="90" w:type="dxa"/>
              <w:bottom w:w="90" w:type="dxa"/>
              <w:end w:w="90" w:type="dxa"/>
            </w:tcMar>
            <w:vAlign w:val="top"/>
          </w:tcPr>
          <w:p>
            <w:r>
              <w:rPr>
                <w:rFonts w:ascii="Aptos" w:hAnsi="Aptos"/>
                <w:b/>
                <w:color w:val="1A1A1A"/>
                <w:sz w:val="18"/>
              </w:rPr>
              <w:t>7. Retain control</w:t>
            </w:r>
          </w:p>
        </w:tc>
        <w:tc>
          <w:tcPr>
            <w:tcW w:type="dxa" w:w="3293"/>
            <w:tcMar>
              <w:top w:w="90" w:type="dxa"/>
              <w:start w:w="90" w:type="dxa"/>
              <w:bottom w:w="90" w:type="dxa"/>
              <w:end w:w="90" w:type="dxa"/>
            </w:tcMar>
            <w:vAlign w:val="top"/>
          </w:tcPr>
          <w:p>
            <w:r>
              <w:rPr>
                <w:rFonts w:ascii="Aptos" w:hAnsi="Aptos"/>
                <w:b w:val="0"/>
                <w:color w:val="1A1A1A"/>
                <w:sz w:val="18"/>
              </w:rPr>
              <w:t>Can I still function without the platform/cloud?</w:t>
            </w:r>
          </w:p>
        </w:tc>
        <w:tc>
          <w:tcPr>
            <w:tcW w:type="dxa" w:w="3293"/>
            <w:tcMar>
              <w:top w:w="90" w:type="dxa"/>
              <w:start w:w="90" w:type="dxa"/>
              <w:bottom w:w="90" w:type="dxa"/>
              <w:end w:w="90" w:type="dxa"/>
            </w:tcMar>
            <w:vAlign w:val="top"/>
          </w:tcPr>
          <w:p>
            <w:r>
              <w:rPr>
                <w:rFonts w:ascii="Aptos" w:hAnsi="Aptos"/>
                <w:b w:val="0"/>
                <w:color w:val="1A1A1A"/>
                <w:sz w:val="18"/>
              </w:rPr>
              <w:t>Local-first data, offline knowledge, capable local AI, resilient services.</w:t>
            </w:r>
          </w:p>
        </w:tc>
      </w:tr>
    </w:tbl>
    <w:p/>
    <w:p>
      <w:pPr>
        <w:pStyle w:val="Heading1"/>
      </w:pPr>
      <w:r>
        <w:t>3. Proposed founding principles</w:t>
      </w:r>
    </w:p>
    <w:p>
      <w:pPr>
        <w:spacing w:after="100"/>
      </w:pPr>
      <w:r>
        <w:rPr>
          <w:rFonts w:ascii="Aptos" w:hAnsi="Aptos"/>
          <w:b/>
          <w:color w:val="17324D"/>
        </w:rPr>
        <w:t xml:space="preserve">Human agency over engagement. </w:t>
      </w:r>
      <w:r>
        <w:rPr>
          <w:rFonts w:ascii="Aptos" w:hAnsi="Aptos"/>
        </w:rPr>
        <w:t>Technology should help people do what they intended to do, not maximize time-on-platform or reflexive behavior.</w:t>
      </w:r>
    </w:p>
    <w:p>
      <w:pPr>
        <w:spacing w:after="100"/>
      </w:pPr>
      <w:r>
        <w:rPr>
          <w:rFonts w:ascii="Aptos" w:hAnsi="Aptos"/>
          <w:b/>
          <w:color w:val="17324D"/>
        </w:rPr>
        <w:t xml:space="preserve">Privacy by architecture. </w:t>
      </w:r>
      <w:r>
        <w:rPr>
          <w:rFonts w:ascii="Aptos" w:hAnsi="Aptos"/>
        </w:rPr>
        <w:t>Minimize collection. Prefer local processing, encrypted storage, and designs where the operator cannot casually inspect private family data.</w:t>
      </w:r>
    </w:p>
    <w:p>
      <w:pPr>
        <w:spacing w:after="100"/>
      </w:pPr>
      <w:r>
        <w:rPr>
          <w:rFonts w:ascii="Aptos" w:hAnsi="Aptos"/>
          <w:b/>
          <w:color w:val="17324D"/>
        </w:rPr>
        <w:t xml:space="preserve">Portability and replaceability. </w:t>
      </w:r>
      <w:r>
        <w:rPr>
          <w:rFonts w:ascii="Aptos" w:hAnsi="Aptos"/>
        </w:rPr>
        <w:t>A user should be able to swap services without rebuilding their digital life from scratch.</w:t>
      </w:r>
    </w:p>
    <w:p>
      <w:pPr>
        <w:spacing w:after="100"/>
      </w:pPr>
      <w:r>
        <w:rPr>
          <w:rFonts w:ascii="Aptos" w:hAnsi="Aptos"/>
          <w:b/>
          <w:color w:val="17324D"/>
        </w:rPr>
        <w:t xml:space="preserve">Evidence before authority. </w:t>
      </w:r>
      <w:r>
        <w:rPr>
          <w:rFonts w:ascii="Aptos" w:hAnsi="Aptos"/>
        </w:rPr>
        <w:t>Claims and scores should expose their sources, methods, uncertainty, and correction history.</w:t>
      </w:r>
    </w:p>
    <w:p>
      <w:pPr>
        <w:spacing w:after="100"/>
      </w:pPr>
      <w:r>
        <w:rPr>
          <w:rFonts w:ascii="Aptos" w:hAnsi="Aptos"/>
          <w:b/>
          <w:color w:val="17324D"/>
        </w:rPr>
        <w:t xml:space="preserve">Separate facts from values. </w:t>
      </w:r>
      <w:r>
        <w:rPr>
          <w:rFonts w:ascii="Aptos" w:hAnsi="Aptos"/>
        </w:rPr>
        <w:t>The system should distinguish what happened, how confident we are, and how different people ethically weight the outcome.</w:t>
      </w:r>
    </w:p>
    <w:p>
      <w:pPr>
        <w:spacing w:after="100"/>
      </w:pPr>
      <w:r>
        <w:rPr>
          <w:rFonts w:ascii="Aptos" w:hAnsi="Aptos"/>
          <w:b/>
          <w:color w:val="17324D"/>
        </w:rPr>
        <w:t xml:space="preserve">Transparent accountability. </w:t>
      </w:r>
      <w:r>
        <w:rPr>
          <w:rFonts w:ascii="Aptos" w:hAnsi="Aptos"/>
        </w:rPr>
        <w:t>Organizations, experts, and forecasters should have visible records—including corrections and past predictions, not only current claims.</w:t>
      </w:r>
    </w:p>
    <w:p>
      <w:pPr>
        <w:spacing w:after="100"/>
      </w:pPr>
      <w:r>
        <w:rPr>
          <w:rFonts w:ascii="Aptos" w:hAnsi="Aptos"/>
          <w:b/>
          <w:color w:val="17324D"/>
        </w:rPr>
        <w:t xml:space="preserve">Pluralism with a rights floor. </w:t>
      </w:r>
      <w:r>
        <w:rPr>
          <w:rFonts w:ascii="Aptos" w:hAnsi="Aptos"/>
        </w:rPr>
        <w:t>People can weight legitimate ethical concerns differently while the foundation maintains clear baseline commitments to human dignity, equality, and non-discrimination.</w:t>
      </w:r>
    </w:p>
    <w:p>
      <w:pPr>
        <w:spacing w:after="100"/>
      </w:pPr>
      <w:r>
        <w:rPr>
          <w:rFonts w:ascii="Aptos" w:hAnsi="Aptos"/>
          <w:b/>
          <w:color w:val="17324D"/>
        </w:rPr>
        <w:t xml:space="preserve">Local-first resilience. </w:t>
      </w:r>
      <w:r>
        <w:rPr>
          <w:rFonts w:ascii="Aptos" w:hAnsi="Aptos"/>
        </w:rPr>
        <w:t>Important knowledge and useful computation should remain available when a user is offline, disconnected, censored, or simply choosing less cloud dependence.</w:t>
      </w:r>
    </w:p>
    <w:p>
      <w:pPr>
        <w:spacing w:after="100"/>
      </w:pPr>
      <w:r>
        <w:rPr>
          <w:rFonts w:ascii="Aptos" w:hAnsi="Aptos"/>
          <w:b/>
          <w:color w:val="17324D"/>
        </w:rPr>
        <w:t xml:space="preserve">Open standards and open source. </w:t>
      </w:r>
      <w:r>
        <w:rPr>
          <w:rFonts w:ascii="Aptos" w:hAnsi="Aptos"/>
        </w:rPr>
        <w:t>Where practical, core infrastructure should be auditable, reusable, and governed as a commons.</w:t>
      </w:r>
    </w:p>
    <w:p>
      <w:pPr>
        <w:spacing w:after="100"/>
      </w:pPr>
      <w:r>
        <w:rPr>
          <w:rFonts w:ascii="Aptos" w:hAnsi="Aptos"/>
          <w:b/>
          <w:color w:val="17324D"/>
        </w:rPr>
        <w:t xml:space="preserve">Volunteer-amplified, professionally stewarded. </w:t>
      </w:r>
      <w:r>
        <w:rPr>
          <w:rFonts w:ascii="Aptos" w:hAnsi="Aptos"/>
        </w:rPr>
        <w:t>AI and volunteers can radically expand output, but security, maintenance, moderation, accessibility, and governance still need accountable stewardship.</w:t>
      </w:r>
    </w:p>
    <w:p>
      <w:pPr>
        <w:pStyle w:val="Heading1"/>
      </w:pPr>
      <w:r>
        <w:t>4. Proposed initiative portfolio</w:t>
      </w:r>
    </w:p>
    <w:p>
      <w:r>
        <w:rPr>
          <w:rFonts w:ascii="Aptos" w:hAnsi="Aptos"/>
        </w:rPr>
        <w:t>The following is a synthesis of the projects in the source notes, with a suggested role for each inside the larger system.</w:t>
      </w:r>
    </w:p>
    <w:tbl>
      <w:tblPr>
        <w:tblStyle w:val="TableGrid"/>
        <w:tblW w:type="auto" w:w="0"/>
        <w:jc w:val="center"/>
        <w:tblLook w:firstColumn="1" w:firstRow="1" w:lastColumn="0" w:lastRow="0" w:noHBand="0" w:noVBand="1" w:val="04A0"/>
      </w:tblPr>
      <w:tblGrid>
        <w:gridCol w:w="2469"/>
        <w:gridCol w:w="2469"/>
        <w:gridCol w:w="2469"/>
        <w:gridCol w:w="2469"/>
      </w:tblGrid>
      <w:tr>
        <w:trPr>
          <w:cantSplit/>
          <w:tblHeader/>
        </w:trPr>
        <w:tc>
          <w:tcPr>
            <w:tcW w:type="dxa" w:w="2469"/>
            <w:shd w:fill="2F7D7A"/>
            <w:tcMar>
              <w:top w:w="90" w:type="dxa"/>
              <w:start w:w="80" w:type="dxa"/>
              <w:bottom w:w="90" w:type="dxa"/>
              <w:end w:w="80" w:type="dxa"/>
            </w:tcMar>
            <w:vAlign w:val="top"/>
          </w:tcPr>
          <w:p>
            <w:r>
              <w:rPr>
                <w:rFonts w:ascii="Aptos" w:hAnsi="Aptos"/>
                <w:b/>
                <w:color w:val="FFFFFF"/>
                <w:sz w:val="18"/>
              </w:rPr>
              <w:t>Initiative</w:t>
            </w:r>
          </w:p>
        </w:tc>
        <w:tc>
          <w:tcPr>
            <w:tcW w:type="dxa" w:w="2469"/>
            <w:shd w:fill="2F7D7A"/>
            <w:tcMar>
              <w:top w:w="90" w:type="dxa"/>
              <w:start w:w="80" w:type="dxa"/>
              <w:bottom w:w="90" w:type="dxa"/>
              <w:end w:w="80" w:type="dxa"/>
            </w:tcMar>
            <w:vAlign w:val="top"/>
          </w:tcPr>
          <w:p>
            <w:r>
              <w:rPr>
                <w:rFonts w:ascii="Aptos" w:hAnsi="Aptos"/>
                <w:b/>
                <w:color w:val="FFFFFF"/>
                <w:sz w:val="18"/>
              </w:rPr>
              <w:t>Purpose</w:t>
            </w:r>
          </w:p>
        </w:tc>
        <w:tc>
          <w:tcPr>
            <w:tcW w:type="dxa" w:w="2469"/>
            <w:shd w:fill="2F7D7A"/>
            <w:tcMar>
              <w:top w:w="90" w:type="dxa"/>
              <w:start w:w="80" w:type="dxa"/>
              <w:bottom w:w="90" w:type="dxa"/>
              <w:end w:w="80" w:type="dxa"/>
            </w:tcMar>
            <w:vAlign w:val="top"/>
          </w:tcPr>
          <w:p>
            <w:r>
              <w:rPr>
                <w:rFonts w:ascii="Aptos" w:hAnsi="Aptos"/>
                <w:b/>
                <w:color w:val="FFFFFF"/>
                <w:sz w:val="18"/>
              </w:rPr>
              <w:t>Role</w:t>
            </w:r>
          </w:p>
        </w:tc>
        <w:tc>
          <w:tcPr>
            <w:tcW w:type="dxa" w:w="2469"/>
            <w:shd w:fill="2F7D7A"/>
            <w:tcMar>
              <w:top w:w="90" w:type="dxa"/>
              <w:start w:w="80" w:type="dxa"/>
              <w:bottom w:w="90" w:type="dxa"/>
              <w:end w:w="80" w:type="dxa"/>
            </w:tcMar>
            <w:vAlign w:val="top"/>
          </w:tcPr>
          <w:p>
            <w:r>
              <w:rPr>
                <w:rFonts w:ascii="Aptos" w:hAnsi="Aptos"/>
                <w:b/>
                <w:color w:val="FFFFFF"/>
                <w:sz w:val="18"/>
              </w:rPr>
              <w:t>Suggested stance</w:t>
            </w:r>
          </w:p>
        </w:tc>
      </w:tr>
      <w:tr>
        <w:trPr>
          <w:cantSplit/>
        </w:trPr>
        <w:tc>
          <w:tcPr>
            <w:tcW w:type="dxa" w:w="2469"/>
            <w:tcMar>
              <w:top w:w="75" w:type="dxa"/>
              <w:start w:w="80" w:type="dxa"/>
              <w:bottom w:w="75" w:type="dxa"/>
              <w:end w:w="80" w:type="dxa"/>
            </w:tcMar>
            <w:vAlign w:val="top"/>
          </w:tcPr>
          <w:p>
            <w:r>
              <w:rPr>
                <w:rFonts w:ascii="Aptos" w:hAnsi="Aptos"/>
                <w:b/>
                <w:color w:val="1A1A1A"/>
                <w:sz w:val="17"/>
              </w:rPr>
              <w:t>Kindredly</w:t>
            </w:r>
          </w:p>
        </w:tc>
        <w:tc>
          <w:tcPr>
            <w:tcW w:type="dxa" w:w="2469"/>
            <w:tcMar>
              <w:top w:w="75" w:type="dxa"/>
              <w:start w:w="80" w:type="dxa"/>
              <w:bottom w:w="75" w:type="dxa"/>
              <w:end w:w="80" w:type="dxa"/>
            </w:tcMar>
            <w:vAlign w:val="top"/>
          </w:tcPr>
          <w:p>
            <w:r>
              <w:rPr>
                <w:rFonts w:ascii="Aptos" w:hAnsi="Aptos"/>
                <w:b w:val="0"/>
                <w:color w:val="1A1A1A"/>
                <w:sz w:val="17"/>
              </w:rPr>
              <w:t>Private family digital home + intentional start page</w:t>
            </w:r>
          </w:p>
        </w:tc>
        <w:tc>
          <w:tcPr>
            <w:tcW w:type="dxa" w:w="2469"/>
            <w:tcMar>
              <w:top w:w="75" w:type="dxa"/>
              <w:start w:w="80" w:type="dxa"/>
              <w:bottom w:w="75" w:type="dxa"/>
              <w:end w:w="80" w:type="dxa"/>
            </w:tcMar>
            <w:vAlign w:val="top"/>
          </w:tcPr>
          <w:p>
            <w:r>
              <w:rPr>
                <w:rFonts w:ascii="Aptos" w:hAnsi="Aptos"/>
                <w:b w:val="0"/>
                <w:color w:val="1A1A1A"/>
                <w:sz w:val="17"/>
              </w:rPr>
              <w:t>Flagship interface</w:t>
            </w:r>
          </w:p>
        </w:tc>
        <w:tc>
          <w:tcPr>
            <w:tcW w:type="dxa" w:w="2469"/>
            <w:tcMar>
              <w:top w:w="75" w:type="dxa"/>
              <w:start w:w="80" w:type="dxa"/>
              <w:bottom w:w="75" w:type="dxa"/>
              <w:end w:w="80" w:type="dxa"/>
            </w:tcMar>
            <w:vAlign w:val="top"/>
          </w:tcPr>
          <w:p>
            <w:r>
              <w:rPr>
                <w:rFonts w:ascii="Aptos" w:hAnsi="Aptos"/>
                <w:b w:val="0"/>
                <w:color w:val="1A1A1A"/>
                <w:sz w:val="17"/>
              </w:rPr>
              <w:t>Continue as the most tangible daily-use product.</w:t>
            </w:r>
          </w:p>
        </w:tc>
      </w:tr>
      <w:tr>
        <w:trPr>
          <w:cantSplit/>
        </w:trPr>
        <w:tc>
          <w:tcPr>
            <w:tcW w:type="dxa" w:w="2469"/>
            <w:tcMar>
              <w:top w:w="75" w:type="dxa"/>
              <w:start w:w="80" w:type="dxa"/>
              <w:bottom w:w="75" w:type="dxa"/>
              <w:end w:w="80" w:type="dxa"/>
            </w:tcMar>
            <w:shd w:fill="F7FAFA"/>
            <w:vAlign w:val="top"/>
          </w:tcPr>
          <w:p>
            <w:r>
              <w:rPr>
                <w:rFonts w:ascii="Aptos" w:hAnsi="Aptos"/>
                <w:b/>
                <w:color w:val="1A1A1A"/>
                <w:sz w:val="17"/>
              </w:rPr>
              <w:t>Good Web Layer</w:t>
            </w:r>
          </w:p>
        </w:tc>
        <w:tc>
          <w:tcPr>
            <w:tcW w:type="dxa" w:w="2469"/>
            <w:tcMar>
              <w:top w:w="75" w:type="dxa"/>
              <w:start w:w="80" w:type="dxa"/>
              <w:bottom w:w="75" w:type="dxa"/>
              <w:end w:w="80" w:type="dxa"/>
            </w:tcMar>
            <w:shd w:fill="F7FAFA"/>
            <w:vAlign w:val="top"/>
          </w:tcPr>
          <w:p>
            <w:r>
              <w:rPr>
                <w:rFonts w:ascii="Aptos" w:hAnsi="Aptos"/>
                <w:b w:val="0"/>
                <w:color w:val="1A1A1A"/>
                <w:sz w:val="17"/>
              </w:rPr>
              <w:t>Browser/overlay tools that remove manipulative clutter and make existing sites more intentional</w:t>
            </w:r>
          </w:p>
        </w:tc>
        <w:tc>
          <w:tcPr>
            <w:tcW w:type="dxa" w:w="2469"/>
            <w:tcMar>
              <w:top w:w="75" w:type="dxa"/>
              <w:start w:w="80" w:type="dxa"/>
              <w:bottom w:w="75" w:type="dxa"/>
              <w:end w:w="80" w:type="dxa"/>
            </w:tcMar>
            <w:shd w:fill="F7FAFA"/>
            <w:vAlign w:val="top"/>
          </w:tcPr>
          <w:p>
            <w:r>
              <w:rPr>
                <w:rFonts w:ascii="Aptos" w:hAnsi="Aptos"/>
                <w:b w:val="0"/>
                <w:color w:val="1A1A1A"/>
                <w:sz w:val="17"/>
              </w:rPr>
              <w:t>Agency layer</w:t>
            </w:r>
          </w:p>
        </w:tc>
        <w:tc>
          <w:tcPr>
            <w:tcW w:type="dxa" w:w="2469"/>
            <w:tcMar>
              <w:top w:w="75" w:type="dxa"/>
              <w:start w:w="80" w:type="dxa"/>
              <w:bottom w:w="75" w:type="dxa"/>
              <w:end w:w="80" w:type="dxa"/>
            </w:tcMar>
            <w:shd w:fill="F7FAFA"/>
            <w:vAlign w:val="top"/>
          </w:tcPr>
          <w:p>
            <w:r>
              <w:rPr>
                <w:rFonts w:ascii="Aptos" w:hAnsi="Aptos"/>
                <w:b w:val="0"/>
                <w:color w:val="1A1A1A"/>
                <w:sz w:val="17"/>
              </w:rPr>
              <w:t>Near-term wedge: small, visible, useful, and easy to demonstrate.</w:t>
            </w:r>
          </w:p>
        </w:tc>
      </w:tr>
      <w:tr>
        <w:trPr>
          <w:cantSplit/>
        </w:trPr>
        <w:tc>
          <w:tcPr>
            <w:tcW w:type="dxa" w:w="2469"/>
            <w:tcMar>
              <w:top w:w="75" w:type="dxa"/>
              <w:start w:w="80" w:type="dxa"/>
              <w:bottom w:w="75" w:type="dxa"/>
              <w:end w:w="80" w:type="dxa"/>
            </w:tcMar>
            <w:vAlign w:val="top"/>
          </w:tcPr>
          <w:p>
            <w:r>
              <w:rPr>
                <w:rFonts w:ascii="Aptos" w:hAnsi="Aptos"/>
                <w:b/>
                <w:color w:val="1A1A1A"/>
                <w:sz w:val="17"/>
              </w:rPr>
              <w:t>Critical Thinking &amp; Digital Citizenship</w:t>
            </w:r>
          </w:p>
        </w:tc>
        <w:tc>
          <w:tcPr>
            <w:tcW w:type="dxa" w:w="2469"/>
            <w:tcMar>
              <w:top w:w="75" w:type="dxa"/>
              <w:start w:w="80" w:type="dxa"/>
              <w:bottom w:w="75" w:type="dxa"/>
              <w:end w:w="80" w:type="dxa"/>
            </w:tcMar>
            <w:vAlign w:val="top"/>
          </w:tcPr>
          <w:p>
            <w:r>
              <w:rPr>
                <w:rFonts w:ascii="Aptos" w:hAnsi="Aptos"/>
                <w:b w:val="0"/>
                <w:color w:val="1A1A1A"/>
                <w:sz w:val="17"/>
              </w:rPr>
              <w:t>Interactive curriculum/game covering reasoning, media literacy, statistics, uncertainty, and manipulation</w:t>
            </w:r>
          </w:p>
        </w:tc>
        <w:tc>
          <w:tcPr>
            <w:tcW w:type="dxa" w:w="2469"/>
            <w:tcMar>
              <w:top w:w="75" w:type="dxa"/>
              <w:start w:w="80" w:type="dxa"/>
              <w:bottom w:w="75" w:type="dxa"/>
              <w:end w:w="80" w:type="dxa"/>
            </w:tcMar>
            <w:vAlign w:val="top"/>
          </w:tcPr>
          <w:p>
            <w:r>
              <w:rPr>
                <w:rFonts w:ascii="Aptos" w:hAnsi="Aptos"/>
                <w:b w:val="0"/>
                <w:color w:val="1A1A1A"/>
                <w:sz w:val="17"/>
              </w:rPr>
              <w:t>Education</w:t>
            </w:r>
          </w:p>
        </w:tc>
        <w:tc>
          <w:tcPr>
            <w:tcW w:type="dxa" w:w="2469"/>
            <w:tcMar>
              <w:top w:w="75" w:type="dxa"/>
              <w:start w:w="80" w:type="dxa"/>
              <w:bottom w:w="75" w:type="dxa"/>
              <w:end w:w="80" w:type="dxa"/>
            </w:tcMar>
            <w:vAlign w:val="top"/>
          </w:tcPr>
          <w:p>
            <w:r>
              <w:rPr>
                <w:rFonts w:ascii="Aptos" w:hAnsi="Aptos"/>
                <w:b w:val="0"/>
                <w:color w:val="1A1A1A"/>
                <w:sz w:val="17"/>
              </w:rPr>
              <w:t>Prototype modules in parallel; design for family use first, schools later.</w:t>
            </w:r>
          </w:p>
        </w:tc>
      </w:tr>
      <w:tr>
        <w:trPr>
          <w:cantSplit/>
        </w:trPr>
        <w:tc>
          <w:tcPr>
            <w:tcW w:type="dxa" w:w="2469"/>
            <w:tcMar>
              <w:top w:w="75" w:type="dxa"/>
              <w:start w:w="80" w:type="dxa"/>
              <w:bottom w:w="75" w:type="dxa"/>
              <w:end w:w="80" w:type="dxa"/>
            </w:tcMar>
            <w:shd w:fill="F7FAFA"/>
            <w:vAlign w:val="top"/>
          </w:tcPr>
          <w:p>
            <w:r>
              <w:rPr>
                <w:rFonts w:ascii="Aptos" w:hAnsi="Aptos"/>
                <w:b/>
                <w:color w:val="1A1A1A"/>
                <w:sz w:val="17"/>
              </w:rPr>
              <w:t>Provenance &amp; Claim Graph</w:t>
            </w:r>
          </w:p>
        </w:tc>
        <w:tc>
          <w:tcPr>
            <w:tcW w:type="dxa" w:w="2469"/>
            <w:tcMar>
              <w:top w:w="75" w:type="dxa"/>
              <w:start w:w="80" w:type="dxa"/>
              <w:bottom w:w="75" w:type="dxa"/>
              <w:end w:w="80" w:type="dxa"/>
            </w:tcMar>
            <w:shd w:fill="F7FAFA"/>
            <w:vAlign w:val="top"/>
          </w:tcPr>
          <w:p>
            <w:r>
              <w:rPr>
                <w:rFonts w:ascii="Aptos" w:hAnsi="Aptos"/>
                <w:b w:val="0"/>
                <w:color w:val="1A1A1A"/>
                <w:sz w:val="17"/>
              </w:rPr>
              <w:t>Trace claims, articles, memes, and source lineage backward through time; cache discovered relationships</w:t>
            </w:r>
          </w:p>
        </w:tc>
        <w:tc>
          <w:tcPr>
            <w:tcW w:type="dxa" w:w="2469"/>
            <w:tcMar>
              <w:top w:w="75" w:type="dxa"/>
              <w:start w:w="80" w:type="dxa"/>
              <w:bottom w:w="75" w:type="dxa"/>
              <w:end w:w="80" w:type="dxa"/>
            </w:tcMar>
            <w:shd w:fill="F7FAFA"/>
            <w:vAlign w:val="top"/>
          </w:tcPr>
          <w:p>
            <w:r>
              <w:rPr>
                <w:rFonts w:ascii="Aptos" w:hAnsi="Aptos"/>
                <w:b w:val="0"/>
                <w:color w:val="1A1A1A"/>
                <w:sz w:val="17"/>
              </w:rPr>
              <w:t>Trust infrastructure</w:t>
            </w:r>
          </w:p>
        </w:tc>
        <w:tc>
          <w:tcPr>
            <w:tcW w:type="dxa" w:w="2469"/>
            <w:tcMar>
              <w:top w:w="75" w:type="dxa"/>
              <w:start w:w="80" w:type="dxa"/>
              <w:bottom w:w="75" w:type="dxa"/>
              <w:end w:w="80" w:type="dxa"/>
            </w:tcMar>
            <w:shd w:fill="F7FAFA"/>
            <w:vAlign w:val="top"/>
          </w:tcPr>
          <w:p>
            <w:r>
              <w:rPr>
                <w:rFonts w:ascii="Aptos" w:hAnsi="Aptos"/>
                <w:b w:val="0"/>
                <w:color w:val="1A1A1A"/>
                <w:sz w:val="17"/>
              </w:rPr>
              <w:t>High-value shared substrate; start narrow with one content domain.</w:t>
            </w:r>
          </w:p>
        </w:tc>
      </w:tr>
      <w:tr>
        <w:trPr>
          <w:cantSplit/>
        </w:trPr>
        <w:tc>
          <w:tcPr>
            <w:tcW w:type="dxa" w:w="2469"/>
            <w:tcMar>
              <w:top w:w="75" w:type="dxa"/>
              <w:start w:w="80" w:type="dxa"/>
              <w:bottom w:w="75" w:type="dxa"/>
              <w:end w:w="80" w:type="dxa"/>
            </w:tcMar>
            <w:vAlign w:val="top"/>
          </w:tcPr>
          <w:p>
            <w:r>
              <w:rPr>
                <w:rFonts w:ascii="Aptos" w:hAnsi="Aptos"/>
                <w:b/>
                <w:color w:val="1A1A1A"/>
                <w:sz w:val="17"/>
              </w:rPr>
              <w:t>Credibility &amp; Forecast Track Record</w:t>
            </w:r>
          </w:p>
        </w:tc>
        <w:tc>
          <w:tcPr>
            <w:tcW w:type="dxa" w:w="2469"/>
            <w:tcMar>
              <w:top w:w="75" w:type="dxa"/>
              <w:start w:w="80" w:type="dxa"/>
              <w:bottom w:w="75" w:type="dxa"/>
              <w:end w:w="80" w:type="dxa"/>
            </w:tcMar>
            <w:vAlign w:val="top"/>
          </w:tcPr>
          <w:p>
            <w:r>
              <w:rPr>
                <w:rFonts w:ascii="Aptos" w:hAnsi="Aptos"/>
                <w:b w:val="0"/>
                <w:color w:val="1A1A1A"/>
                <w:sz w:val="17"/>
              </w:rPr>
              <w:t>Track corrections, evidence quality, conflicts, and predictions over time</w:t>
            </w:r>
          </w:p>
        </w:tc>
        <w:tc>
          <w:tcPr>
            <w:tcW w:type="dxa" w:w="2469"/>
            <w:tcMar>
              <w:top w:w="75" w:type="dxa"/>
              <w:start w:w="80" w:type="dxa"/>
              <w:bottom w:w="75" w:type="dxa"/>
              <w:end w:w="80" w:type="dxa"/>
            </w:tcMar>
            <w:vAlign w:val="top"/>
          </w:tcPr>
          <w:p>
            <w:r>
              <w:rPr>
                <w:rFonts w:ascii="Aptos" w:hAnsi="Aptos"/>
                <w:b w:val="0"/>
                <w:color w:val="1A1A1A"/>
                <w:sz w:val="17"/>
              </w:rPr>
              <w:t>Accountability layer</w:t>
            </w:r>
          </w:p>
        </w:tc>
        <w:tc>
          <w:tcPr>
            <w:tcW w:type="dxa" w:w="2469"/>
            <w:tcMar>
              <w:top w:w="75" w:type="dxa"/>
              <w:start w:w="80" w:type="dxa"/>
              <w:bottom w:w="75" w:type="dxa"/>
              <w:end w:w="80" w:type="dxa"/>
            </w:tcMar>
            <w:vAlign w:val="top"/>
          </w:tcPr>
          <w:p>
            <w:r>
              <w:rPr>
                <w:rFonts w:ascii="Aptos" w:hAnsi="Aptos"/>
                <w:b w:val="0"/>
                <w:color w:val="1A1A1A"/>
                <w:sz w:val="17"/>
              </w:rPr>
              <w:t>Use multidimensional evidence; avoid a magical single credibility number.</w:t>
            </w:r>
          </w:p>
        </w:tc>
      </w:tr>
      <w:tr>
        <w:trPr>
          <w:cantSplit/>
        </w:trPr>
        <w:tc>
          <w:tcPr>
            <w:tcW w:type="dxa" w:w="2469"/>
            <w:tcMar>
              <w:top w:w="75" w:type="dxa"/>
              <w:start w:w="80" w:type="dxa"/>
              <w:bottom w:w="75" w:type="dxa"/>
              <w:end w:w="80" w:type="dxa"/>
            </w:tcMar>
            <w:shd w:fill="F7FAFA"/>
            <w:vAlign w:val="top"/>
          </w:tcPr>
          <w:p>
            <w:r>
              <w:rPr>
                <w:rFonts w:ascii="Aptos" w:hAnsi="Aptos"/>
                <w:b/>
                <w:color w:val="1A1A1A"/>
                <w:sz w:val="17"/>
              </w:rPr>
              <w:t>Ethical / Impact Index</w:t>
            </w:r>
          </w:p>
        </w:tc>
        <w:tc>
          <w:tcPr>
            <w:tcW w:type="dxa" w:w="2469"/>
            <w:tcMar>
              <w:top w:w="75" w:type="dxa"/>
              <w:start w:w="80" w:type="dxa"/>
              <w:bottom w:w="75" w:type="dxa"/>
              <w:end w:w="80" w:type="dxa"/>
            </w:tcMar>
            <w:shd w:fill="F7FAFA"/>
            <w:vAlign w:val="top"/>
          </w:tcPr>
          <w:p>
            <w:r>
              <w:rPr>
                <w:rFonts w:ascii="Aptos" w:hAnsi="Aptos"/>
                <w:b w:val="0"/>
                <w:color w:val="1A1A1A"/>
                <w:sz w:val="17"/>
              </w:rPr>
              <w:t>Evidence-backed profiles of companies, public institutions, and potentially public figures across ethical dimensions</w:t>
            </w:r>
          </w:p>
        </w:tc>
        <w:tc>
          <w:tcPr>
            <w:tcW w:type="dxa" w:w="2469"/>
            <w:tcMar>
              <w:top w:w="75" w:type="dxa"/>
              <w:start w:w="80" w:type="dxa"/>
              <w:bottom w:w="75" w:type="dxa"/>
              <w:end w:w="80" w:type="dxa"/>
            </w:tcMar>
            <w:shd w:fill="F7FAFA"/>
            <w:vAlign w:val="top"/>
          </w:tcPr>
          <w:p>
            <w:r>
              <w:rPr>
                <w:rFonts w:ascii="Aptos" w:hAnsi="Aptos"/>
                <w:b w:val="0"/>
                <w:color w:val="1A1A1A"/>
                <w:sz w:val="17"/>
              </w:rPr>
              <w:t>Values-to-action layer</w:t>
            </w:r>
          </w:p>
        </w:tc>
        <w:tc>
          <w:tcPr>
            <w:tcW w:type="dxa" w:w="2469"/>
            <w:tcMar>
              <w:top w:w="75" w:type="dxa"/>
              <w:start w:w="80" w:type="dxa"/>
              <w:bottom w:w="75" w:type="dxa"/>
              <w:end w:w="80" w:type="dxa"/>
            </w:tcMar>
            <w:shd w:fill="F7FAFA"/>
            <w:vAlign w:val="top"/>
          </w:tcPr>
          <w:p>
            <w:r>
              <w:rPr>
                <w:rFonts w:ascii="Aptos" w:hAnsi="Aptos"/>
                <w:b w:val="0"/>
                <w:color w:val="1A1A1A"/>
                <w:sz w:val="17"/>
              </w:rPr>
              <w:t>Separate factual events from user-defined weighting; build appeal/correction processes early.</w:t>
            </w:r>
          </w:p>
        </w:tc>
      </w:tr>
      <w:tr>
        <w:trPr>
          <w:cantSplit/>
        </w:trPr>
        <w:tc>
          <w:tcPr>
            <w:tcW w:type="dxa" w:w="2469"/>
            <w:tcMar>
              <w:top w:w="75" w:type="dxa"/>
              <w:start w:w="80" w:type="dxa"/>
              <w:bottom w:w="75" w:type="dxa"/>
              <w:end w:w="80" w:type="dxa"/>
            </w:tcMar>
            <w:vAlign w:val="top"/>
          </w:tcPr>
          <w:p>
            <w:r>
              <w:rPr>
                <w:rFonts w:ascii="Aptos" w:hAnsi="Aptos"/>
                <w:b/>
                <w:color w:val="1A1A1A"/>
                <w:sz w:val="17"/>
              </w:rPr>
              <w:t>What Matters Now</w:t>
            </w:r>
          </w:p>
        </w:tc>
        <w:tc>
          <w:tcPr>
            <w:tcW w:type="dxa" w:w="2469"/>
            <w:tcMar>
              <w:top w:w="75" w:type="dxa"/>
              <w:start w:w="80" w:type="dxa"/>
              <w:bottom w:w="75" w:type="dxa"/>
              <w:end w:w="80" w:type="dxa"/>
            </w:tcMar>
            <w:vAlign w:val="top"/>
          </w:tcPr>
          <w:p>
            <w:r>
              <w:rPr>
                <w:rFonts w:ascii="Aptos" w:hAnsi="Aptos"/>
                <w:b w:val="0"/>
                <w:color w:val="1A1A1A"/>
                <w:sz w:val="17"/>
              </w:rPr>
              <w:t>Local-to-global situational dashboard showing urgency, scale, proximity, and likely relevance</w:t>
            </w:r>
          </w:p>
        </w:tc>
        <w:tc>
          <w:tcPr>
            <w:tcW w:type="dxa" w:w="2469"/>
            <w:tcMar>
              <w:top w:w="75" w:type="dxa"/>
              <w:start w:w="80" w:type="dxa"/>
              <w:bottom w:w="75" w:type="dxa"/>
              <w:end w:w="80" w:type="dxa"/>
            </w:tcMar>
            <w:vAlign w:val="top"/>
          </w:tcPr>
          <w:p>
            <w:r>
              <w:rPr>
                <w:rFonts w:ascii="Aptos" w:hAnsi="Aptos"/>
                <w:b w:val="0"/>
                <w:color w:val="1A1A1A"/>
                <w:sz w:val="17"/>
              </w:rPr>
              <w:t>Attention layer</w:t>
            </w:r>
          </w:p>
        </w:tc>
        <w:tc>
          <w:tcPr>
            <w:tcW w:type="dxa" w:w="2469"/>
            <w:tcMar>
              <w:top w:w="75" w:type="dxa"/>
              <w:start w:w="80" w:type="dxa"/>
              <w:bottom w:w="75" w:type="dxa"/>
              <w:end w:w="80" w:type="dxa"/>
            </w:tcMar>
            <w:vAlign w:val="top"/>
          </w:tcPr>
          <w:p>
            <w:r>
              <w:rPr>
                <w:rFonts w:ascii="Aptos" w:hAnsi="Aptos"/>
                <w:b w:val="0"/>
                <w:color w:val="1A1A1A"/>
                <w:sz w:val="17"/>
              </w:rPr>
              <w:t>Later application built on trusted feeds + local preferences; personalization should happen locally where possible.</w:t>
            </w:r>
          </w:p>
        </w:tc>
      </w:tr>
      <w:tr>
        <w:trPr>
          <w:cantSplit/>
        </w:trPr>
        <w:tc>
          <w:tcPr>
            <w:tcW w:type="dxa" w:w="2469"/>
            <w:tcMar>
              <w:top w:w="75" w:type="dxa"/>
              <w:start w:w="80" w:type="dxa"/>
              <w:bottom w:w="75" w:type="dxa"/>
              <w:end w:w="80" w:type="dxa"/>
            </w:tcMar>
            <w:shd w:fill="F7FAFA"/>
            <w:vAlign w:val="top"/>
          </w:tcPr>
          <w:p>
            <w:r>
              <w:rPr>
                <w:rFonts w:ascii="Aptos" w:hAnsi="Aptos"/>
                <w:b/>
                <w:color w:val="1A1A1A"/>
                <w:sz w:val="17"/>
              </w:rPr>
              <w:t>Resilient Personal Computing</w:t>
            </w:r>
          </w:p>
        </w:tc>
        <w:tc>
          <w:tcPr>
            <w:tcW w:type="dxa" w:w="2469"/>
            <w:tcMar>
              <w:top w:w="75" w:type="dxa"/>
              <w:start w:w="80" w:type="dxa"/>
              <w:bottom w:w="75" w:type="dxa"/>
              <w:end w:w="80" w:type="dxa"/>
            </w:tcMar>
            <w:shd w:fill="F7FAFA"/>
            <w:vAlign w:val="top"/>
          </w:tcPr>
          <w:p>
            <w:r>
              <w:rPr>
                <w:rFonts w:ascii="Aptos" w:hAnsi="Aptos"/>
                <w:b w:val="0"/>
                <w:color w:val="1A1A1A"/>
                <w:sz w:val="17"/>
              </w:rPr>
              <w:t>Local knowledge, local AI, distributed/fallback services, and offline-capable tools</w:t>
            </w:r>
          </w:p>
        </w:tc>
        <w:tc>
          <w:tcPr>
            <w:tcW w:type="dxa" w:w="2469"/>
            <w:tcMar>
              <w:top w:w="75" w:type="dxa"/>
              <w:start w:w="80" w:type="dxa"/>
              <w:bottom w:w="75" w:type="dxa"/>
              <w:end w:w="80" w:type="dxa"/>
            </w:tcMar>
            <w:shd w:fill="F7FAFA"/>
            <w:vAlign w:val="top"/>
          </w:tcPr>
          <w:p>
            <w:r>
              <w:rPr>
                <w:rFonts w:ascii="Aptos" w:hAnsi="Aptos"/>
                <w:b w:val="0"/>
                <w:color w:val="1A1A1A"/>
                <w:sz w:val="17"/>
              </w:rPr>
              <w:t>Resilience layer</w:t>
            </w:r>
          </w:p>
        </w:tc>
        <w:tc>
          <w:tcPr>
            <w:tcW w:type="dxa" w:w="2469"/>
            <w:tcMar>
              <w:top w:w="75" w:type="dxa"/>
              <w:start w:w="80" w:type="dxa"/>
              <w:bottom w:w="75" w:type="dxa"/>
              <w:end w:w="80" w:type="dxa"/>
            </w:tcMar>
            <w:shd w:fill="F7FAFA"/>
            <w:vAlign w:val="top"/>
          </w:tcPr>
          <w:p>
            <w:r>
              <w:rPr>
                <w:rFonts w:ascii="Aptos" w:hAnsi="Aptos"/>
                <w:b w:val="0"/>
                <w:color w:val="1A1A1A"/>
                <w:sz w:val="17"/>
              </w:rPr>
              <w:t>Make this a cross-cutting architecture principle before it becomes a standalone product.</w:t>
            </w:r>
          </w:p>
        </w:tc>
      </w:tr>
    </w:tbl>
    <w:p/>
    <w:p>
      <w:pPr>
        <w:pStyle w:val="Heading1"/>
      </w:pPr>
      <w:r>
        <w:t>5. The common substrate: build once, reuse everywhere</w:t>
      </w:r>
    </w:p>
    <w:p>
      <w:r>
        <w:rPr>
          <w:rFonts w:ascii="Aptos" w:hAnsi="Aptos"/>
        </w:rPr>
        <w:t>The most important technical/product opportunity is that several projects can share the same underlying primitives. That turns a collection of ambitious ideas into a compounding platform.</w:t>
      </w:r>
    </w:p>
    <w:p>
      <w:pPr>
        <w:pStyle w:val="ListBullet"/>
        <w:spacing w:after="60"/>
      </w:pPr>
      <w:r>
        <w:rPr>
          <w:rFonts w:ascii="Aptos" w:hAnsi="Aptos"/>
          <w:b/>
          <w:color w:val="2F7D7A"/>
        </w:rPr>
        <w:t xml:space="preserve">Provenance graph: </w:t>
      </w:r>
      <w:r>
        <w:rPr>
          <w:rFonts w:ascii="Aptos" w:hAnsi="Aptos"/>
        </w:rPr>
        <w:t>Entities, claims, documents, media, citations, timestamps, transformations, and source relationships.</w:t>
      </w:r>
    </w:p>
    <w:p>
      <w:pPr>
        <w:pStyle w:val="ListBullet"/>
        <w:spacing w:after="60"/>
      </w:pPr>
      <w:r>
        <w:rPr>
          <w:rFonts w:ascii="Aptos" w:hAnsi="Aptos"/>
          <w:b/>
          <w:color w:val="2F7D7A"/>
        </w:rPr>
        <w:t xml:space="preserve">Evidence objects: </w:t>
      </w:r>
      <w:r>
        <w:rPr>
          <w:rFonts w:ascii="Aptos" w:hAnsi="Aptos"/>
        </w:rPr>
        <w:t>Every consequential score or assertion links to inspectable evidence and records confidence/uncertainty.</w:t>
      </w:r>
    </w:p>
    <w:p>
      <w:pPr>
        <w:pStyle w:val="ListBullet"/>
        <w:spacing w:after="60"/>
      </w:pPr>
      <w:r>
        <w:rPr>
          <w:rFonts w:ascii="Aptos" w:hAnsi="Aptos"/>
          <w:b/>
          <w:color w:val="2F7D7A"/>
        </w:rPr>
        <w:t xml:space="preserve">Correction history: </w:t>
      </w:r>
      <w:r>
        <w:rPr>
          <w:rFonts w:ascii="Aptos" w:hAnsi="Aptos"/>
        </w:rPr>
        <w:t>Changes are additive and auditable: what was believed, what changed, why, and when.</w:t>
      </w:r>
    </w:p>
    <w:p>
      <w:pPr>
        <w:pStyle w:val="ListBullet"/>
        <w:spacing w:after="60"/>
      </w:pPr>
      <w:r>
        <w:rPr>
          <w:rFonts w:ascii="Aptos" w:hAnsi="Aptos"/>
          <w:b/>
          <w:color w:val="2F7D7A"/>
        </w:rPr>
        <w:t xml:space="preserve">Forecast ledger: </w:t>
      </w:r>
      <w:r>
        <w:rPr>
          <w:rFonts w:ascii="Aptos" w:hAnsi="Aptos"/>
        </w:rPr>
        <w:t>Record predictions at the time they are made, including horizon and probability when available; later score performance.</w:t>
      </w:r>
    </w:p>
    <w:p>
      <w:pPr>
        <w:pStyle w:val="ListBullet"/>
        <w:spacing w:after="60"/>
      </w:pPr>
      <w:r>
        <w:rPr>
          <w:rFonts w:ascii="Aptos" w:hAnsi="Aptos"/>
          <w:b/>
          <w:color w:val="2F7D7A"/>
        </w:rPr>
        <w:t xml:space="preserve">Value taxonomy: </w:t>
      </w:r>
      <w:r>
        <w:rPr>
          <w:rFonts w:ascii="Aptos" w:hAnsi="Aptos"/>
        </w:rPr>
        <w:t>A transparent set of ethical dimensions—privacy, labor, environment, animal welfare, child welfare, corruption, discrimination, and others—kept separate from user weights.</w:t>
      </w:r>
    </w:p>
    <w:p>
      <w:pPr>
        <w:pStyle w:val="ListBullet"/>
        <w:spacing w:after="60"/>
      </w:pPr>
      <w:r>
        <w:rPr>
          <w:rFonts w:ascii="Aptos" w:hAnsi="Aptos"/>
          <w:b/>
          <w:color w:val="2F7D7A"/>
        </w:rPr>
        <w:t xml:space="preserve">Local preference model: </w:t>
      </w:r>
      <w:r>
        <w:rPr>
          <w:rFonts w:ascii="Aptos" w:hAnsi="Aptos"/>
        </w:rPr>
        <w:t>Users can express what matters to them without uploading a detailed moral/interest profile to a central service.</w:t>
      </w:r>
    </w:p>
    <w:p>
      <w:pPr>
        <w:pStyle w:val="ListBullet"/>
        <w:spacing w:after="60"/>
      </w:pPr>
      <w:r>
        <w:rPr>
          <w:rFonts w:ascii="Aptos" w:hAnsi="Aptos"/>
          <w:b/>
          <w:color w:val="2F7D7A"/>
        </w:rPr>
        <w:t xml:space="preserve">Alternative graph: </w:t>
      </w:r>
      <w:r>
        <w:rPr>
          <w:rFonts w:ascii="Aptos" w:hAnsi="Aptos"/>
        </w:rPr>
        <w:t>Map products/services to practical substitutes and quantify switching costs, tradeoffs, compatibility, and migration steps.</w:t>
      </w:r>
    </w:p>
    <w:p>
      <w:pPr>
        <w:pStyle w:val="ListBullet"/>
        <w:spacing w:after="60"/>
      </w:pPr>
      <w:r>
        <w:rPr>
          <w:rFonts w:ascii="Aptos" w:hAnsi="Aptos"/>
          <w:b/>
          <w:color w:val="2F7D7A"/>
        </w:rPr>
        <w:t xml:space="preserve">Open API + export: </w:t>
      </w:r>
      <w:r>
        <w:rPr>
          <w:rFonts w:ascii="Aptos" w:hAnsi="Aptos"/>
        </w:rPr>
        <w:t>Make public-interest data reusable by Kindredly, browser tools, researchers, journalists, educators, and third-party apps.</w:t>
      </w:r>
    </w:p>
    <w:p>
      <w:pPr>
        <w:pStyle w:val="Heading2"/>
      </w:pPr>
      <w:r>
        <w:t>Forecast accountability can be unusually strong</w:t>
      </w:r>
    </w:p>
    <w:p>
      <w:r>
        <w:rPr>
          <w:rFonts w:ascii="Aptos" w:hAnsi="Aptos"/>
        </w:rPr>
        <w:t>The idea of preserving past predictions is especially valuable because digital media routinely preserves the current article while hiding the historical state of confidence. Where a forecaster provides probabilities, the system can use standard calibration measures such as Brier scores; where predictions are qualitative, it can still preserve the exact claim, time horizon, conditions, and outcome. The important design principle is to archive first and score second.</w:t>
      </w:r>
    </w:p>
    <w:p>
      <w:pPr>
        <w:pStyle w:val="Heading1"/>
      </w:pPr>
      <w:r>
        <w:t>6. Organizational model: foundation, Kindredly, and commercial activity</w:t>
      </w:r>
    </w:p>
    <w:p>
      <w:r>
        <w:rPr>
          <w:rFonts w:ascii="Aptos" w:hAnsi="Aptos"/>
        </w:rPr>
        <w:t>A nonprofit umbrella is plausible, but the legal and operating structure should follow the work rather than force every activity into one entity. The concept mixes public education, open-source infrastructure, ratings/research, advocacy-adjacent civic information, and potentially commercial software.</w:t>
      </w:r>
    </w:p>
    <w:p>
      <w:pPr>
        <w:pStyle w:val="Heading2"/>
      </w:pPr>
      <w:r>
        <w:t>Recommended long-term shape</w:t>
      </w:r>
    </w:p>
    <w:tbl>
      <w:tblPr>
        <w:tblW w:type="auto" w:w="0"/>
        <w:jc w:val="center"/>
        <w:tblLayout w:type="autofit"/>
        <w:tblLook w:firstColumn="1" w:firstRow="1" w:lastColumn="0" w:lastRow="0" w:noHBand="0" w:noVBand="1" w:val="04A0"/>
      </w:tblPr>
      <w:tblGrid>
        <w:gridCol w:w="9878"/>
      </w:tblGrid>
      <w:tr>
        <w:trPr>
          <w:cantSplit/>
        </w:trPr>
        <w:tc>
          <w:tcPr>
            <w:tcW w:type="dxa" w:w="9878"/>
            <w:shd w:fill="EEF4F8"/>
            <w:tcMar>
              <w:top w:w="120" w:type="dxa"/>
              <w:start w:w="150" w:type="dxa"/>
              <w:bottom w:w="120" w:type="dxa"/>
              <w:end w:w="150" w:type="dxa"/>
            </w:tcMar>
            <w:vAlign w:val="top"/>
          </w:tcPr>
          <w:p>
            <w:pPr>
              <w:spacing w:after="80"/>
            </w:pPr>
            <w:r>
              <w:rPr>
                <w:rFonts w:ascii="Aptos" w:hAnsi="Aptos"/>
                <w:b/>
                <w:color w:val="17324D"/>
                <w:sz w:val="21"/>
              </w:rPr>
              <w:t>Public-interest foundation / public charity</w:t>
            </w:r>
          </w:p>
          <w:p>
            <w:pPr>
              <w:spacing w:after="0"/>
            </w:pPr>
            <w:r>
              <w:rPr>
                <w:rFonts w:ascii="Aptos" w:hAnsi="Aptos"/>
                <w:color w:val="1A1A1A"/>
                <w:sz w:val="20"/>
              </w:rPr>
              <w:t>Stewards mission, open-source commons, standards, educational work, public-interest research/data, grants/community programs, and governance.</w:t>
            </w:r>
          </w:p>
        </w:tc>
      </w:tr>
    </w:tbl>
    <w:p>
      <w:pPr>
        <w:spacing w:after="0"/>
      </w:pPr>
    </w:p>
    <w:tbl>
      <w:tblPr>
        <w:tblW w:type="auto" w:w="0"/>
        <w:jc w:val="center"/>
        <w:tblLayout w:type="autofit"/>
        <w:tblLook w:firstColumn="1" w:firstRow="1" w:lastColumn="0" w:lastRow="0" w:noHBand="0" w:noVBand="1" w:val="04A0"/>
      </w:tblPr>
      <w:tblGrid>
        <w:gridCol w:w="9878"/>
      </w:tblGrid>
      <w:tr>
        <w:trPr>
          <w:cantSplit/>
        </w:trPr>
        <w:tc>
          <w:tcPr>
            <w:tcW w:type="dxa" w:w="9878"/>
            <w:shd w:fill="F2F7F6"/>
            <w:tcMar>
              <w:top w:w="120" w:type="dxa"/>
              <w:start w:w="150" w:type="dxa"/>
              <w:bottom w:w="120" w:type="dxa"/>
              <w:end w:w="150" w:type="dxa"/>
            </w:tcMar>
            <w:vAlign w:val="top"/>
          </w:tcPr>
          <w:p>
            <w:pPr>
              <w:spacing w:after="80"/>
            </w:pPr>
            <w:r>
              <w:rPr>
                <w:rFonts w:ascii="Aptos" w:hAnsi="Aptos"/>
                <w:b/>
                <w:color w:val="2F7D7A"/>
                <w:sz w:val="21"/>
              </w:rPr>
              <w:t>Mission-locked operating company (optional)</w:t>
            </w:r>
          </w:p>
          <w:p>
            <w:pPr>
              <w:spacing w:after="0"/>
            </w:pPr>
            <w:r>
              <w:rPr>
                <w:rFonts w:ascii="Aptos" w:hAnsi="Aptos"/>
                <w:color w:val="1A1A1A"/>
                <w:sz w:val="20"/>
              </w:rPr>
              <w:t>Runs commercial products or services that need ordinary contracts, subscriptions, enterprise support, or investment. A public-benefit form or a foundation-controlled subsidiary is worth exploring with counsel.</w:t>
            </w:r>
          </w:p>
        </w:tc>
      </w:tr>
    </w:tbl>
    <w:p>
      <w:pPr>
        <w:spacing w:after="0"/>
      </w:pPr>
    </w:p>
    <w:tbl>
      <w:tblPr>
        <w:tblW w:type="auto" w:w="0"/>
        <w:jc w:val="center"/>
        <w:tblLayout w:type="autofit"/>
        <w:tblLook w:firstColumn="1" w:firstRow="1" w:lastColumn="0" w:lastRow="0" w:noHBand="0" w:noVBand="1" w:val="04A0"/>
      </w:tblPr>
      <w:tblGrid>
        <w:gridCol w:w="9878"/>
      </w:tblGrid>
      <w:tr>
        <w:trPr>
          <w:cantSplit/>
        </w:trPr>
        <w:tc>
          <w:tcPr>
            <w:tcW w:type="dxa" w:w="9878"/>
            <w:shd w:fill="FAF7F0"/>
            <w:tcMar>
              <w:top w:w="120" w:type="dxa"/>
              <w:start w:w="150" w:type="dxa"/>
              <w:bottom w:w="120" w:type="dxa"/>
              <w:end w:w="150" w:type="dxa"/>
            </w:tcMar>
            <w:vAlign w:val="top"/>
          </w:tcPr>
          <w:p>
            <w:pPr>
              <w:spacing w:after="80"/>
            </w:pPr>
            <w:r>
              <w:rPr>
                <w:rFonts w:ascii="Aptos" w:hAnsi="Aptos"/>
                <w:b/>
                <w:color w:val="A7792B"/>
                <w:sz w:val="21"/>
              </w:rPr>
              <w:t>Kindredly</w:t>
            </w:r>
          </w:p>
          <w:p>
            <w:pPr>
              <w:spacing w:after="0"/>
            </w:pPr>
            <w:r>
              <w:rPr>
                <w:rFonts w:ascii="Aptos" w:hAnsi="Aptos"/>
                <w:color w:val="1A1A1A"/>
                <w:sz w:val="20"/>
              </w:rPr>
              <w:t>Can be the flagship product and demonstration of the principles. Whether it sits directly in the nonprofit or in an operating entity should depend on revenue model, capital needs, and private-benefit/tax considerations.</w:t>
            </w:r>
          </w:p>
        </w:tc>
      </w:tr>
    </w:tbl>
    <w:p>
      <w:pPr>
        <w:spacing w:after="0"/>
      </w:pPr>
    </w:p>
    <w:p>
      <w:pPr>
        <w:pStyle w:val="Heading2"/>
      </w:pPr>
      <w:r>
        <w:t>Why I would not over-formalize immediately</w:t>
      </w:r>
    </w:p>
    <w:p>
      <w:pPr>
        <w:pStyle w:val="ListBullet"/>
        <w:spacing w:after="40"/>
        <w:ind w:left="259"/>
      </w:pPr>
      <w:r>
        <w:rPr>
          <w:rFonts w:ascii="Aptos" w:hAnsi="Aptos"/>
          <w:color w:val="1A1A1A"/>
        </w:rPr>
        <w:t>The most urgent risk is scope, not entity formation.</w:t>
      </w:r>
    </w:p>
    <w:p>
      <w:pPr>
        <w:pStyle w:val="ListBullet"/>
        <w:spacing w:after="40"/>
        <w:ind w:left="259"/>
      </w:pPr>
      <w:r>
        <w:rPr>
          <w:rFonts w:ascii="Aptos" w:hAnsi="Aptos"/>
          <w:color w:val="1A1A1A"/>
        </w:rPr>
        <w:t>A legal umbrella is useful only after the first one or two concrete programs are clear enough to describe, fund, and govern.</w:t>
      </w:r>
    </w:p>
    <w:p>
      <w:pPr>
        <w:pStyle w:val="ListBullet"/>
        <w:spacing w:after="40"/>
        <w:ind w:left="259"/>
      </w:pPr>
      <w:r>
        <w:rPr>
          <w:rFonts w:ascii="Aptos" w:hAnsi="Aptos"/>
          <w:color w:val="1A1A1A"/>
        </w:rPr>
        <w:t>For the first phase, write the charter, publish principles, prototype the shared substrate, and demonstrate one consumer-facing wedge.</w:t>
      </w:r>
    </w:p>
    <w:p>
      <w:pPr>
        <w:pStyle w:val="ListBullet"/>
        <w:spacing w:after="40"/>
        <w:ind w:left="259"/>
      </w:pPr>
      <w:r>
        <w:rPr>
          <w:rFonts w:ascii="Aptos" w:hAnsi="Aptos"/>
          <w:color w:val="1A1A1A"/>
        </w:rPr>
        <w:t>Then choose the entity structure with a nonprofit attorney and tax counsel based on funding sources, governance, lobbying/political activity, and commercial plans.</w:t>
      </w:r>
    </w:p>
    <w:p>
      <w:pPr>
        <w:pStyle w:val="Heading2"/>
      </w:pPr>
      <w:r>
        <w:t>Important U.S. nonprofit caution for politician ratings</w:t>
      </w:r>
    </w:p>
    <w:p>
      <w:r>
        <w:rPr>
          <w:rFonts w:ascii="Aptos" w:hAnsi="Aptos"/>
        </w:rPr>
        <w:t>If the organization is U.S.-based and seeks 501(c)(3) status, direct or indirect intervention for or against candidates for elective office is prohibited. Nonpartisan voter education can be permissible, but methodology, timing, language, and presentation matter. An ethical index that includes current candidates therefore needs careful legal design; a separate advocacy entity may eventually be appropriate if the project moves beyond neutral research/education.</w:t>
      </w:r>
    </w:p>
    <w:p>
      <w:r>
        <w:rPr>
          <w:rFonts w:ascii="Aptos" w:hAnsi="Aptos"/>
          <w:i/>
          <w:color w:val="4D5B66"/>
        </w:rPr>
        <w:t>This is a strategic flag, not legal advice.</w:t>
      </w:r>
    </w:p>
    <w:p>
      <w:pPr>
        <w:pStyle w:val="Heading1"/>
      </w:pPr>
      <w:r>
        <w:t>7. What I think is strongest—and what I would change</w:t>
      </w:r>
    </w:p>
    <w:p>
      <w:pPr>
        <w:pStyle w:val="Heading2"/>
      </w:pPr>
      <w:r>
        <w:t>What is unusually strong</w:t>
      </w:r>
    </w:p>
    <w:p>
      <w:r>
        <w:rPr>
          <w:rFonts w:ascii="Aptos" w:hAnsi="Aptos"/>
          <w:b/>
          <w:color w:val="2F7D7A"/>
        </w:rPr>
        <w:t xml:space="preserve">A coherent moral center. </w:t>
      </w:r>
      <w:r>
        <w:rPr>
          <w:rFonts w:ascii="Aptos" w:hAnsi="Aptos"/>
        </w:rPr>
        <w:t>Privacy, human rights, critical thinking, and autonomy are not superficial branding themes; they directly imply product choices.</w:t>
      </w:r>
    </w:p>
    <w:p>
      <w:r>
        <w:rPr>
          <w:rFonts w:ascii="Aptos" w:hAnsi="Aptos"/>
          <w:b/>
          <w:color w:val="2F7D7A"/>
        </w:rPr>
        <w:t xml:space="preserve">The “layer over the existing web” approach. </w:t>
      </w:r>
      <w:r>
        <w:rPr>
          <w:rFonts w:ascii="Aptos" w:hAnsi="Aptos"/>
        </w:rPr>
        <w:t>Trying to replace the whole internet is unrealistic. Surgical cleanup, alternative routing, and better interfaces can improve life now.</w:t>
      </w:r>
    </w:p>
    <w:p>
      <w:r>
        <w:rPr>
          <w:rFonts w:ascii="Aptos" w:hAnsi="Aptos"/>
          <w:b/>
          <w:color w:val="2F7D7A"/>
        </w:rPr>
        <w:t xml:space="preserve">Provenance as infrastructure. </w:t>
      </w:r>
      <w:r>
        <w:rPr>
          <w:rFonts w:ascii="Aptos" w:hAnsi="Aptos"/>
        </w:rPr>
        <w:t>Source lineage can support fact-checking, credibility, ethical profiles, journalism tools, and AI grounding. It is a foundational capability rather than a one-off feature.</w:t>
      </w:r>
    </w:p>
    <w:p>
      <w:r>
        <w:rPr>
          <w:rFonts w:ascii="Aptos" w:hAnsi="Aptos"/>
          <w:b/>
          <w:color w:val="2F7D7A"/>
        </w:rPr>
        <w:t xml:space="preserve">Past-prediction accountability. </w:t>
      </w:r>
      <w:r>
        <w:rPr>
          <w:rFonts w:ascii="Aptos" w:hAnsi="Aptos"/>
        </w:rPr>
        <w:t>This is concrete, measurable, and culturally useful. It changes incentives by making confident public claims persistent.</w:t>
      </w:r>
    </w:p>
    <w:p>
      <w:r>
        <w:rPr>
          <w:rFonts w:ascii="Aptos" w:hAnsi="Aptos"/>
          <w:b/>
          <w:color w:val="2F7D7A"/>
        </w:rPr>
        <w:t xml:space="preserve">Local-first personalization. </w:t>
      </w:r>
      <w:r>
        <w:rPr>
          <w:rFonts w:ascii="Aptos" w:hAnsi="Aptos"/>
        </w:rPr>
        <w:t>Your privacy principle and the personalized “what matters” dashboard fit together if ranking and preference storage happen on the user’s device.</w:t>
      </w:r>
    </w:p>
    <w:p>
      <w:r>
        <w:rPr>
          <w:rFonts w:ascii="Aptos" w:hAnsi="Aptos"/>
          <w:b/>
          <w:color w:val="2F7D7A"/>
        </w:rPr>
        <w:t xml:space="preserve">Resilience as a first-class goal. </w:t>
      </w:r>
      <w:r>
        <w:rPr>
          <w:rFonts w:ascii="Aptos" w:hAnsi="Aptos"/>
        </w:rPr>
        <w:t>Offline/local knowledge and AI are not only disaster features; they also reduce dependency and make privacy promises more credible.</w:t>
      </w:r>
    </w:p>
    <w:p>
      <w:pPr>
        <w:pStyle w:val="Heading2"/>
      </w:pPr>
      <w:r>
        <w:t>What I would change or guard against</w:t>
      </w:r>
    </w:p>
    <w:p>
      <w:r>
        <w:rPr>
          <w:rFonts w:ascii="Aptos" w:hAnsi="Aptos"/>
          <w:b/>
          <w:color w:val="8B3A3A"/>
        </w:rPr>
        <w:t xml:space="preserve">Do not collapse morality into a universal number. </w:t>
      </w:r>
      <w:r>
        <w:rPr>
          <w:rFonts w:ascii="Aptos" w:hAnsi="Aptos"/>
        </w:rPr>
        <w:t>A single moral grade can hide assumptions and invite ideological capture. Publish evidence + dimension scores + methodology, then allow transparent weighting.</w:t>
      </w:r>
    </w:p>
    <w:p>
      <w:r>
        <w:rPr>
          <w:rFonts w:ascii="Aptos" w:hAnsi="Aptos"/>
          <w:b/>
          <w:color w:val="8B3A3A"/>
        </w:rPr>
        <w:t xml:space="preserve">Do not collapse credibility into popularity. </w:t>
      </w:r>
      <w:r>
        <w:rPr>
          <w:rFonts w:ascii="Aptos" w:hAnsi="Aptos"/>
        </w:rPr>
        <w:t>A source can be right for the wrong reason, wrong while reasoning responsibly, or excellent in one domain and poor in another. Track dimensions and context.</w:t>
      </w:r>
    </w:p>
    <w:p>
      <w:r>
        <w:rPr>
          <w:rFonts w:ascii="Aptos" w:hAnsi="Aptos"/>
          <w:b/>
          <w:color w:val="8B3A3A"/>
        </w:rPr>
        <w:t xml:space="preserve">Do not let “reasonable ethical concern” stay undefined. </w:t>
      </w:r>
      <w:r>
        <w:rPr>
          <w:rFonts w:ascii="Aptos" w:hAnsi="Aptos"/>
        </w:rPr>
        <w:t>Create a written inclusion standard, governance process, appeal mechanism, and human-rights baseline. The legitimacy of the index will depend as much on process as on data.</w:t>
      </w:r>
    </w:p>
    <w:p>
      <w:r>
        <w:rPr>
          <w:rFonts w:ascii="Aptos" w:hAnsi="Aptos"/>
          <w:b/>
          <w:color w:val="8B3A3A"/>
        </w:rPr>
        <w:t xml:space="preserve">Avoid pure volunteer dependency. </w:t>
      </w:r>
      <w:r>
        <w:rPr>
          <w:rFonts w:ascii="Aptos" w:hAnsi="Aptos"/>
        </w:rPr>
        <w:t>AI changes the cost of software creation, but reliable software still needs security response, maintainers, moderation, release engineering, documentation, and continuity.</w:t>
      </w:r>
    </w:p>
    <w:p>
      <w:r>
        <w:rPr>
          <w:rFonts w:ascii="Aptos" w:hAnsi="Aptos"/>
          <w:b/>
          <w:color w:val="8B3A3A"/>
        </w:rPr>
        <w:t xml:space="preserve">Do not start with the dashboard. </w:t>
      </w:r>
      <w:r>
        <w:rPr>
          <w:rFonts w:ascii="Aptos" w:hAnsi="Aptos"/>
        </w:rPr>
        <w:t>A “what matters now” system is compelling but depends on trusted inputs, ranking logic, geographic data, and user preferences. Build the information/evidence substrate first.</w:t>
      </w:r>
    </w:p>
    <w:p>
      <w:r>
        <w:rPr>
          <w:rFonts w:ascii="Aptos" w:hAnsi="Aptos"/>
          <w:b/>
          <w:color w:val="8B3A3A"/>
        </w:rPr>
        <w:t xml:space="preserve">Keep Kindredly focused. </w:t>
      </w:r>
      <w:r>
        <w:rPr>
          <w:rFonts w:ascii="Aptos" w:hAnsi="Aptos"/>
        </w:rPr>
        <w:t>Kindredly should embody the mission without becoming the container for every idea. The foundation creates room for broader public-interest work without making the family product incomprehensible.</w:t>
      </w:r>
    </w:p>
    <w:p>
      <w:pPr>
        <w:pStyle w:val="Heading1"/>
      </w:pPr>
      <w:r>
        <w:t>8. First 90 days: turn the philosophy into something buildable</w:t>
      </w:r>
    </w:p>
    <w:p>
      <w:pPr>
        <w:pStyle w:val="Heading2"/>
      </w:pPr>
      <w:r>
        <w:t>Month 1 — define the institution</w:t>
      </w:r>
    </w:p>
    <w:p>
      <w:pPr>
        <w:pStyle w:val="ListNumber"/>
        <w:spacing w:after="60"/>
        <w:ind w:left="259"/>
      </w:pPr>
      <w:r>
        <w:rPr>
          <w:rFonts w:ascii="Aptos" w:hAnsi="Aptos"/>
          <w:color w:val="1A1A1A"/>
        </w:rPr>
        <w:t>Write a 1-page mission + 1-page principles document. Keep it testable: each principle should imply behaviors the organization will and will not accept.</w:t>
      </w:r>
    </w:p>
    <w:p>
      <w:pPr>
        <w:pStyle w:val="ListNumber"/>
        <w:spacing w:after="60"/>
        <w:ind w:left="259"/>
      </w:pPr>
      <w:r>
        <w:rPr>
          <w:rFonts w:ascii="Aptos" w:hAnsi="Aptos"/>
          <w:color w:val="1A1A1A"/>
        </w:rPr>
        <w:t>Choose a working umbrella name distinct from Kindredly so the foundation can support projects that do not belong in the family product.</w:t>
      </w:r>
    </w:p>
    <w:p>
      <w:pPr>
        <w:pStyle w:val="ListNumber"/>
        <w:spacing w:after="60"/>
        <w:ind w:left="259"/>
      </w:pPr>
      <w:r>
        <w:rPr>
          <w:rFonts w:ascii="Aptos" w:hAnsi="Aptos"/>
          <w:color w:val="1A1A1A"/>
        </w:rPr>
        <w:t>Define the portfolio as three layers: (1) public-interest infrastructure, (2) applications/products, (3) education/community.</w:t>
      </w:r>
    </w:p>
    <w:p>
      <w:pPr>
        <w:pStyle w:val="ListNumber"/>
        <w:spacing w:after="60"/>
        <w:ind w:left="259"/>
      </w:pPr>
      <w:r>
        <w:rPr>
          <w:rFonts w:ascii="Aptos" w:hAnsi="Aptos"/>
          <w:color w:val="1A1A1A"/>
        </w:rPr>
        <w:t>Create an initial governance memo: evidence standards, correction policy, conflict-of-interest rules, funding independence, and how disputed ethical categories are handled.</w:t>
      </w:r>
    </w:p>
    <w:p>
      <w:pPr>
        <w:pStyle w:val="ListNumber"/>
        <w:spacing w:after="60"/>
        <w:ind w:left="259"/>
      </w:pPr>
      <w:r>
        <w:rPr>
          <w:rFonts w:ascii="Aptos" w:hAnsi="Aptos"/>
          <w:color w:val="1A1A1A"/>
        </w:rPr>
        <w:t>Decide the first user group. A strong default is families/individuals who want a calmer, more private, more intentional digital life.</w:t>
      </w:r>
    </w:p>
    <w:p>
      <w:pPr>
        <w:pStyle w:val="Heading2"/>
      </w:pPr>
      <w:r>
        <w:t>Month 2 — build the shared primitives</w:t>
      </w:r>
    </w:p>
    <w:p>
      <w:pPr>
        <w:pStyle w:val="ListNumber"/>
        <w:spacing w:after="60"/>
        <w:ind w:left="259"/>
      </w:pPr>
      <w:r>
        <w:rPr>
          <w:rFonts w:ascii="Aptos" w:hAnsi="Aptos"/>
          <w:color w:val="1A1A1A"/>
        </w:rPr>
        <w:t>Define a minimal data model for Source → Claim → Evidence → Entity → Event → Correction → Prediction → Outcome.</w:t>
      </w:r>
    </w:p>
    <w:p>
      <w:pPr>
        <w:pStyle w:val="ListNumber"/>
        <w:spacing w:after="60"/>
        <w:ind w:left="259"/>
      </w:pPr>
      <w:r>
        <w:rPr>
          <w:rFonts w:ascii="Aptos" w:hAnsi="Aptos"/>
          <w:color w:val="1A1A1A"/>
        </w:rPr>
        <w:t>Build a tiny provenance prototype in one narrow domain. The goal is not automated truth; it is inspectable lineage.</w:t>
      </w:r>
    </w:p>
    <w:p>
      <w:pPr>
        <w:pStyle w:val="ListNumber"/>
        <w:spacing w:after="60"/>
        <w:ind w:left="259"/>
      </w:pPr>
      <w:r>
        <w:rPr>
          <w:rFonts w:ascii="Aptos" w:hAnsi="Aptos"/>
          <w:color w:val="1A1A1A"/>
        </w:rPr>
        <w:t>Define version 0.1 of the ethical-dimension taxonomy and explicitly separate evidence from weighting.</w:t>
      </w:r>
    </w:p>
    <w:p>
      <w:pPr>
        <w:pStyle w:val="ListNumber"/>
        <w:spacing w:after="60"/>
        <w:ind w:left="259"/>
      </w:pPr>
      <w:r>
        <w:rPr>
          <w:rFonts w:ascii="Aptos" w:hAnsi="Aptos"/>
          <w:color w:val="1A1A1A"/>
        </w:rPr>
        <w:t>Prototype local preference storage so a user’s interests/values can influence results without creating a centralized behavioral profile.</w:t>
      </w:r>
    </w:p>
    <w:p>
      <w:pPr>
        <w:pStyle w:val="ListNumber"/>
        <w:spacing w:after="60"/>
        <w:ind w:left="259"/>
      </w:pPr>
      <w:r>
        <w:rPr>
          <w:rFonts w:ascii="Aptos" w:hAnsi="Aptos"/>
          <w:color w:val="1A1A1A"/>
        </w:rPr>
        <w:t>Publish the schemas and methodology early enough for outside criticism.</w:t>
      </w:r>
    </w:p>
    <w:p>
      <w:pPr>
        <w:pStyle w:val="Heading2"/>
      </w:pPr>
      <w:r>
        <w:t>Month 3 — ship one visible wedge</w:t>
      </w:r>
    </w:p>
    <w:p>
      <w:pPr>
        <w:pStyle w:val="ListNumber"/>
        <w:spacing w:after="60"/>
        <w:ind w:left="259"/>
      </w:pPr>
      <w:r>
        <w:rPr>
          <w:rFonts w:ascii="Aptos" w:hAnsi="Aptos"/>
          <w:color w:val="1A1A1A"/>
        </w:rPr>
        <w:t>Release a small Good Web / Kindredly browser feature that makes one existing service dramatically more intentional (for example, a configurable decluttered video experience).</w:t>
      </w:r>
    </w:p>
    <w:p>
      <w:pPr>
        <w:pStyle w:val="ListNumber"/>
        <w:spacing w:after="60"/>
        <w:ind w:left="259"/>
      </w:pPr>
      <w:r>
        <w:rPr>
          <w:rFonts w:ascii="Aptos" w:hAnsi="Aptos"/>
          <w:color w:val="1A1A1A"/>
        </w:rPr>
        <w:t>Connect it to an “alternative path” card: what the service does, what data/incentives matter, practical substitutes, and migration difficulty.</w:t>
      </w:r>
    </w:p>
    <w:p>
      <w:pPr>
        <w:pStyle w:val="ListNumber"/>
        <w:spacing w:after="60"/>
        <w:ind w:left="259"/>
      </w:pPr>
      <w:r>
        <w:rPr>
          <w:rFonts w:ascii="Aptos" w:hAnsi="Aptos"/>
          <w:color w:val="1A1A1A"/>
        </w:rPr>
        <w:t>Create one public demonstration of provenance/track-record infrastructure—e.g., a handful of well-defined claims or forecasts with source lineage and outcomes.</w:t>
      </w:r>
    </w:p>
    <w:p>
      <w:pPr>
        <w:pStyle w:val="ListNumber"/>
        <w:spacing w:after="60"/>
        <w:ind w:left="259"/>
      </w:pPr>
      <w:r>
        <w:rPr>
          <w:rFonts w:ascii="Aptos" w:hAnsi="Aptos"/>
          <w:color w:val="1A1A1A"/>
        </w:rPr>
        <w:t>Recruit a small advisory circle spanning privacy/security, journalism/information science, education, statistics/forecasting, nonprofit governance, and accessibility.</w:t>
      </w:r>
    </w:p>
    <w:p>
      <w:pPr>
        <w:pStyle w:val="ListNumber"/>
        <w:spacing w:after="60"/>
        <w:ind w:left="259"/>
      </w:pPr>
      <w:r>
        <w:rPr>
          <w:rFonts w:ascii="Aptos" w:hAnsi="Aptos"/>
          <w:color w:val="1A1A1A"/>
        </w:rPr>
        <w:t>Use the demo to test whether donors, contributors, and users understand the umbrella mission without needing a 20-minute explanation.</w:t>
      </w:r>
    </w:p>
    <w:p>
      <w:pPr>
        <w:pStyle w:val="Heading1"/>
      </w:pPr>
      <w:r>
        <w:t>9. A staged 12–24 month roadmap</w:t>
      </w:r>
    </w:p>
    <w:tbl>
      <w:tblPr>
        <w:tblStyle w:val="TableGrid"/>
        <w:tblW w:type="auto" w:w="0"/>
        <w:jc w:val="center"/>
        <w:tblLook w:firstColumn="1" w:firstRow="1" w:lastColumn="0" w:lastRow="0" w:noHBand="0" w:noVBand="1" w:val="04A0"/>
      </w:tblPr>
      <w:tblGrid>
        <w:gridCol w:w="3293"/>
        <w:gridCol w:w="3293"/>
        <w:gridCol w:w="3293"/>
      </w:tblGrid>
      <w:tr>
        <w:trPr>
          <w:cantSplit/>
          <w:tblHeader/>
        </w:trPr>
        <w:tc>
          <w:tcPr>
            <w:tcW w:type="dxa" w:w="3293"/>
            <w:shd w:fill="17324D"/>
            <w:tcMar>
              <w:top w:w="90" w:type="dxa"/>
              <w:start w:w="90" w:type="dxa"/>
              <w:bottom w:w="90" w:type="dxa"/>
              <w:end w:w="90" w:type="dxa"/>
            </w:tcMar>
            <w:vAlign w:val="top"/>
          </w:tcPr>
          <w:p>
            <w:r>
              <w:rPr>
                <w:rFonts w:ascii="Aptos" w:hAnsi="Aptos"/>
                <w:b/>
                <w:color w:val="FFFFFF"/>
                <w:sz w:val="18"/>
              </w:rPr>
              <w:t>Stage</w:t>
            </w:r>
          </w:p>
        </w:tc>
        <w:tc>
          <w:tcPr>
            <w:tcW w:type="dxa" w:w="3293"/>
            <w:shd w:fill="17324D"/>
            <w:tcMar>
              <w:top w:w="90" w:type="dxa"/>
              <w:start w:w="90" w:type="dxa"/>
              <w:bottom w:w="90" w:type="dxa"/>
              <w:end w:w="90" w:type="dxa"/>
            </w:tcMar>
            <w:vAlign w:val="top"/>
          </w:tcPr>
          <w:p>
            <w:r>
              <w:rPr>
                <w:rFonts w:ascii="Aptos" w:hAnsi="Aptos"/>
                <w:b/>
                <w:color w:val="FFFFFF"/>
                <w:sz w:val="18"/>
              </w:rPr>
              <w:t>Primary work</w:t>
            </w:r>
          </w:p>
        </w:tc>
        <w:tc>
          <w:tcPr>
            <w:tcW w:type="dxa" w:w="3293"/>
            <w:shd w:fill="17324D"/>
            <w:tcMar>
              <w:top w:w="90" w:type="dxa"/>
              <w:start w:w="90" w:type="dxa"/>
              <w:bottom w:w="90" w:type="dxa"/>
              <w:end w:w="90" w:type="dxa"/>
            </w:tcMar>
            <w:vAlign w:val="top"/>
          </w:tcPr>
          <w:p>
            <w:r>
              <w:rPr>
                <w:rFonts w:ascii="Aptos" w:hAnsi="Aptos"/>
                <w:b/>
                <w:color w:val="FFFFFF"/>
                <w:sz w:val="18"/>
              </w:rPr>
              <w:t>Why now</w:t>
            </w:r>
          </w:p>
        </w:tc>
      </w:tr>
      <w:tr>
        <w:trPr>
          <w:cantSplit/>
        </w:trPr>
        <w:tc>
          <w:tcPr>
            <w:tcW w:type="dxa" w:w="3293"/>
            <w:tcMar>
              <w:top w:w="90" w:type="dxa"/>
              <w:start w:w="90" w:type="dxa"/>
              <w:bottom w:w="90" w:type="dxa"/>
              <w:end w:w="90" w:type="dxa"/>
            </w:tcMar>
            <w:vAlign w:val="top"/>
          </w:tcPr>
          <w:p>
            <w:r>
              <w:rPr>
                <w:rFonts w:ascii="Aptos" w:hAnsi="Aptos"/>
                <w:b/>
                <w:color w:val="1A1A1A"/>
                <w:sz w:val="18"/>
              </w:rPr>
              <w:t>Stage 1: Agency</w:t>
            </w:r>
          </w:p>
        </w:tc>
        <w:tc>
          <w:tcPr>
            <w:tcW w:type="dxa" w:w="3293"/>
            <w:tcMar>
              <w:top w:w="90" w:type="dxa"/>
              <w:start w:w="90" w:type="dxa"/>
              <w:bottom w:w="90" w:type="dxa"/>
              <w:end w:w="90" w:type="dxa"/>
            </w:tcMar>
            <w:vAlign w:val="top"/>
          </w:tcPr>
          <w:p>
            <w:r>
              <w:rPr>
                <w:rFonts w:ascii="Aptos" w:hAnsi="Aptos"/>
                <w:b w:val="0"/>
                <w:color w:val="1A1A1A"/>
                <w:sz w:val="18"/>
              </w:rPr>
              <w:t>Kindredly + Good Web Layer + portability/alternative guides</w:t>
            </w:r>
          </w:p>
        </w:tc>
        <w:tc>
          <w:tcPr>
            <w:tcW w:type="dxa" w:w="3293"/>
            <w:tcMar>
              <w:top w:w="90" w:type="dxa"/>
              <w:start w:w="90" w:type="dxa"/>
              <w:bottom w:w="90" w:type="dxa"/>
              <w:end w:w="90" w:type="dxa"/>
            </w:tcMar>
            <w:vAlign w:val="top"/>
          </w:tcPr>
          <w:p>
            <w:r>
              <w:rPr>
                <w:rFonts w:ascii="Aptos" w:hAnsi="Aptos"/>
                <w:b w:val="0"/>
                <w:color w:val="1A1A1A"/>
                <w:sz w:val="18"/>
              </w:rPr>
              <w:t>Proves immediate usefulness and the anti-lock-in philosophy.</w:t>
            </w:r>
          </w:p>
        </w:tc>
      </w:tr>
      <w:tr>
        <w:trPr>
          <w:cantSplit/>
        </w:trPr>
        <w:tc>
          <w:tcPr>
            <w:tcW w:type="dxa" w:w="3293"/>
            <w:tcMar>
              <w:top w:w="90" w:type="dxa"/>
              <w:start w:w="90" w:type="dxa"/>
              <w:bottom w:w="90" w:type="dxa"/>
              <w:end w:w="90" w:type="dxa"/>
            </w:tcMar>
            <w:shd w:fill="F8FAFB"/>
            <w:vAlign w:val="top"/>
          </w:tcPr>
          <w:p>
            <w:r>
              <w:rPr>
                <w:rFonts w:ascii="Aptos" w:hAnsi="Aptos"/>
                <w:b/>
                <w:color w:val="1A1A1A"/>
                <w:sz w:val="18"/>
              </w:rPr>
              <w:t>Stage 2: Evidence</w:t>
            </w:r>
          </w:p>
        </w:tc>
        <w:tc>
          <w:tcPr>
            <w:tcW w:type="dxa" w:w="3293"/>
            <w:tcMar>
              <w:top w:w="90" w:type="dxa"/>
              <w:start w:w="90" w:type="dxa"/>
              <w:bottom w:w="90" w:type="dxa"/>
              <w:end w:w="90" w:type="dxa"/>
            </w:tcMar>
            <w:shd w:fill="F8FAFB"/>
            <w:vAlign w:val="top"/>
          </w:tcPr>
          <w:p>
            <w:r>
              <w:rPr>
                <w:rFonts w:ascii="Aptos" w:hAnsi="Aptos"/>
                <w:b w:val="0"/>
                <w:color w:val="1A1A1A"/>
                <w:sz w:val="18"/>
              </w:rPr>
              <w:t>Provenance graph + claim/evidence objects + correction history</w:t>
            </w:r>
          </w:p>
        </w:tc>
        <w:tc>
          <w:tcPr>
            <w:tcW w:type="dxa" w:w="3293"/>
            <w:tcMar>
              <w:top w:w="90" w:type="dxa"/>
              <w:start w:w="90" w:type="dxa"/>
              <w:bottom w:w="90" w:type="dxa"/>
              <w:end w:w="90" w:type="dxa"/>
            </w:tcMar>
            <w:shd w:fill="F8FAFB"/>
            <w:vAlign w:val="top"/>
          </w:tcPr>
          <w:p>
            <w:r>
              <w:rPr>
                <w:rFonts w:ascii="Aptos" w:hAnsi="Aptos"/>
                <w:b w:val="0"/>
                <w:color w:val="1A1A1A"/>
                <w:sz w:val="18"/>
              </w:rPr>
              <w:t>Creates shared infrastructure for everything that follows.</w:t>
            </w:r>
          </w:p>
        </w:tc>
      </w:tr>
      <w:tr>
        <w:trPr>
          <w:cantSplit/>
        </w:trPr>
        <w:tc>
          <w:tcPr>
            <w:tcW w:type="dxa" w:w="3293"/>
            <w:tcMar>
              <w:top w:w="90" w:type="dxa"/>
              <w:start w:w="90" w:type="dxa"/>
              <w:bottom w:w="90" w:type="dxa"/>
              <w:end w:w="90" w:type="dxa"/>
            </w:tcMar>
            <w:vAlign w:val="top"/>
          </w:tcPr>
          <w:p>
            <w:r>
              <w:rPr>
                <w:rFonts w:ascii="Aptos" w:hAnsi="Aptos"/>
                <w:b/>
                <w:color w:val="1A1A1A"/>
                <w:sz w:val="18"/>
              </w:rPr>
              <w:t>Stage 3: Accountability</w:t>
            </w:r>
          </w:p>
        </w:tc>
        <w:tc>
          <w:tcPr>
            <w:tcW w:type="dxa" w:w="3293"/>
            <w:tcMar>
              <w:top w:w="90" w:type="dxa"/>
              <w:start w:w="90" w:type="dxa"/>
              <w:bottom w:w="90" w:type="dxa"/>
              <w:end w:w="90" w:type="dxa"/>
            </w:tcMar>
            <w:vAlign w:val="top"/>
          </w:tcPr>
          <w:p>
            <w:r>
              <w:rPr>
                <w:rFonts w:ascii="Aptos" w:hAnsi="Aptos"/>
                <w:b w:val="0"/>
                <w:color w:val="1A1A1A"/>
                <w:sz w:val="18"/>
              </w:rPr>
              <w:t>Forecast ledger + multidimensional credibility/track records</w:t>
            </w:r>
          </w:p>
        </w:tc>
        <w:tc>
          <w:tcPr>
            <w:tcW w:type="dxa" w:w="3293"/>
            <w:tcMar>
              <w:top w:w="90" w:type="dxa"/>
              <w:start w:w="90" w:type="dxa"/>
              <w:bottom w:w="90" w:type="dxa"/>
              <w:end w:w="90" w:type="dxa"/>
            </w:tcMar>
            <w:vAlign w:val="top"/>
          </w:tcPr>
          <w:p>
            <w:r>
              <w:rPr>
                <w:rFonts w:ascii="Aptos" w:hAnsi="Aptos"/>
                <w:b w:val="0"/>
                <w:color w:val="1A1A1A"/>
                <w:sz w:val="18"/>
              </w:rPr>
              <w:t>Turns the evidence graph into measurable accountability.</w:t>
            </w:r>
          </w:p>
        </w:tc>
      </w:tr>
      <w:tr>
        <w:trPr>
          <w:cantSplit/>
        </w:trPr>
        <w:tc>
          <w:tcPr>
            <w:tcW w:type="dxa" w:w="3293"/>
            <w:tcMar>
              <w:top w:w="90" w:type="dxa"/>
              <w:start w:w="90" w:type="dxa"/>
              <w:bottom w:w="90" w:type="dxa"/>
              <w:end w:w="90" w:type="dxa"/>
            </w:tcMar>
            <w:shd w:fill="F8FAFB"/>
            <w:vAlign w:val="top"/>
          </w:tcPr>
          <w:p>
            <w:r>
              <w:rPr>
                <w:rFonts w:ascii="Aptos" w:hAnsi="Aptos"/>
                <w:b/>
                <w:color w:val="1A1A1A"/>
                <w:sz w:val="18"/>
              </w:rPr>
              <w:t>Stage 4: Values</w:t>
            </w:r>
          </w:p>
        </w:tc>
        <w:tc>
          <w:tcPr>
            <w:tcW w:type="dxa" w:w="3293"/>
            <w:tcMar>
              <w:top w:w="90" w:type="dxa"/>
              <w:start w:w="90" w:type="dxa"/>
              <w:bottom w:w="90" w:type="dxa"/>
              <w:end w:w="90" w:type="dxa"/>
            </w:tcMar>
            <w:shd w:fill="F8FAFB"/>
            <w:vAlign w:val="top"/>
          </w:tcPr>
          <w:p>
            <w:r>
              <w:rPr>
                <w:rFonts w:ascii="Aptos" w:hAnsi="Aptos"/>
                <w:b w:val="0"/>
                <w:color w:val="1A1A1A"/>
                <w:sz w:val="18"/>
              </w:rPr>
              <w:t>Ethical/impact profiles + user-controlled weighting + alternative recommendations</w:t>
            </w:r>
          </w:p>
        </w:tc>
        <w:tc>
          <w:tcPr>
            <w:tcW w:type="dxa" w:w="3293"/>
            <w:tcMar>
              <w:top w:w="90" w:type="dxa"/>
              <w:start w:w="90" w:type="dxa"/>
              <w:bottom w:w="90" w:type="dxa"/>
              <w:end w:w="90" w:type="dxa"/>
            </w:tcMar>
            <w:shd w:fill="F8FAFB"/>
            <w:vAlign w:val="top"/>
          </w:tcPr>
          <w:p>
            <w:r>
              <w:rPr>
                <w:rFonts w:ascii="Aptos" w:hAnsi="Aptos"/>
                <w:b w:val="0"/>
                <w:color w:val="1A1A1A"/>
                <w:sz w:val="18"/>
              </w:rPr>
              <w:t>Connects public-interest data to spending and platform choices.</w:t>
            </w:r>
          </w:p>
        </w:tc>
      </w:tr>
      <w:tr>
        <w:trPr>
          <w:cantSplit/>
        </w:trPr>
        <w:tc>
          <w:tcPr>
            <w:tcW w:type="dxa" w:w="3293"/>
            <w:tcMar>
              <w:top w:w="90" w:type="dxa"/>
              <w:start w:w="90" w:type="dxa"/>
              <w:bottom w:w="90" w:type="dxa"/>
              <w:end w:w="90" w:type="dxa"/>
            </w:tcMar>
            <w:vAlign w:val="top"/>
          </w:tcPr>
          <w:p>
            <w:r>
              <w:rPr>
                <w:rFonts w:ascii="Aptos" w:hAnsi="Aptos"/>
                <w:b/>
                <w:color w:val="1A1A1A"/>
                <w:sz w:val="18"/>
              </w:rPr>
              <w:t>Stage 5: Learning</w:t>
            </w:r>
          </w:p>
        </w:tc>
        <w:tc>
          <w:tcPr>
            <w:tcW w:type="dxa" w:w="3293"/>
            <w:tcMar>
              <w:top w:w="90" w:type="dxa"/>
              <w:start w:w="90" w:type="dxa"/>
              <w:bottom w:w="90" w:type="dxa"/>
              <w:end w:w="90" w:type="dxa"/>
            </w:tcMar>
            <w:vAlign w:val="top"/>
          </w:tcPr>
          <w:p>
            <w:r>
              <w:rPr>
                <w:rFonts w:ascii="Aptos" w:hAnsi="Aptos"/>
                <w:b w:val="0"/>
                <w:color w:val="1A1A1A"/>
                <w:sz w:val="18"/>
              </w:rPr>
              <w:t>Critical-thinking curriculum/game using real examples from the evidence system</w:t>
            </w:r>
          </w:p>
        </w:tc>
        <w:tc>
          <w:tcPr>
            <w:tcW w:type="dxa" w:w="3293"/>
            <w:tcMar>
              <w:top w:w="90" w:type="dxa"/>
              <w:start w:w="90" w:type="dxa"/>
              <w:bottom w:w="90" w:type="dxa"/>
              <w:end w:w="90" w:type="dxa"/>
            </w:tcMar>
            <w:vAlign w:val="top"/>
          </w:tcPr>
          <w:p>
            <w:r>
              <w:rPr>
                <w:rFonts w:ascii="Aptos" w:hAnsi="Aptos"/>
                <w:b w:val="0"/>
                <w:color w:val="1A1A1A"/>
                <w:sz w:val="18"/>
              </w:rPr>
              <w:t>Teaches the reasoning skills behind the tools.</w:t>
            </w:r>
          </w:p>
        </w:tc>
      </w:tr>
      <w:tr>
        <w:trPr>
          <w:cantSplit/>
        </w:trPr>
        <w:tc>
          <w:tcPr>
            <w:tcW w:type="dxa" w:w="3293"/>
            <w:tcMar>
              <w:top w:w="90" w:type="dxa"/>
              <w:start w:w="90" w:type="dxa"/>
              <w:bottom w:w="90" w:type="dxa"/>
              <w:end w:w="90" w:type="dxa"/>
            </w:tcMar>
            <w:shd w:fill="F8FAFB"/>
            <w:vAlign w:val="top"/>
          </w:tcPr>
          <w:p>
            <w:r>
              <w:rPr>
                <w:rFonts w:ascii="Aptos" w:hAnsi="Aptos"/>
                <w:b/>
                <w:color w:val="1A1A1A"/>
                <w:sz w:val="18"/>
              </w:rPr>
              <w:t>Stage 6: Awareness</w:t>
            </w:r>
          </w:p>
        </w:tc>
        <w:tc>
          <w:tcPr>
            <w:tcW w:type="dxa" w:w="3293"/>
            <w:tcMar>
              <w:top w:w="90" w:type="dxa"/>
              <w:start w:w="90" w:type="dxa"/>
              <w:bottom w:w="90" w:type="dxa"/>
              <w:end w:w="90" w:type="dxa"/>
            </w:tcMar>
            <w:shd w:fill="F8FAFB"/>
            <w:vAlign w:val="top"/>
          </w:tcPr>
          <w:p>
            <w:r>
              <w:rPr>
                <w:rFonts w:ascii="Aptos" w:hAnsi="Aptos"/>
                <w:b w:val="0"/>
                <w:color w:val="1A1A1A"/>
                <w:sz w:val="18"/>
              </w:rPr>
              <w:t>What Matters Now dashboard with local-first personalization</w:t>
            </w:r>
          </w:p>
        </w:tc>
        <w:tc>
          <w:tcPr>
            <w:tcW w:type="dxa" w:w="3293"/>
            <w:tcMar>
              <w:top w:w="90" w:type="dxa"/>
              <w:start w:w="90" w:type="dxa"/>
              <w:bottom w:w="90" w:type="dxa"/>
              <w:end w:w="90" w:type="dxa"/>
            </w:tcMar>
            <w:shd w:fill="F8FAFB"/>
            <w:vAlign w:val="top"/>
          </w:tcPr>
          <w:p>
            <w:r>
              <w:rPr>
                <w:rFonts w:ascii="Aptos" w:hAnsi="Aptos"/>
                <w:b w:val="0"/>
                <w:color w:val="1A1A1A"/>
                <w:sz w:val="18"/>
              </w:rPr>
              <w:t>Uses mature data sources and preference logic to guide attention.</w:t>
            </w:r>
          </w:p>
        </w:tc>
      </w:tr>
      <w:tr>
        <w:trPr>
          <w:cantSplit/>
        </w:trPr>
        <w:tc>
          <w:tcPr>
            <w:tcW w:type="dxa" w:w="3293"/>
            <w:tcMar>
              <w:top w:w="90" w:type="dxa"/>
              <w:start w:w="90" w:type="dxa"/>
              <w:bottom w:w="90" w:type="dxa"/>
              <w:end w:w="90" w:type="dxa"/>
            </w:tcMar>
            <w:vAlign w:val="top"/>
          </w:tcPr>
          <w:p>
            <w:r>
              <w:rPr>
                <w:rFonts w:ascii="Aptos" w:hAnsi="Aptos"/>
                <w:b/>
                <w:color w:val="1A1A1A"/>
                <w:sz w:val="18"/>
              </w:rPr>
              <w:t>Stage 7: Resilience</w:t>
            </w:r>
          </w:p>
        </w:tc>
        <w:tc>
          <w:tcPr>
            <w:tcW w:type="dxa" w:w="3293"/>
            <w:tcMar>
              <w:top w:w="90" w:type="dxa"/>
              <w:start w:w="90" w:type="dxa"/>
              <w:bottom w:w="90" w:type="dxa"/>
              <w:end w:w="90" w:type="dxa"/>
            </w:tcMar>
            <w:vAlign w:val="top"/>
          </w:tcPr>
          <w:p>
            <w:r>
              <w:rPr>
                <w:rFonts w:ascii="Aptos" w:hAnsi="Aptos"/>
                <w:b w:val="0"/>
                <w:color w:val="1A1A1A"/>
                <w:sz w:val="18"/>
              </w:rPr>
              <w:t>Offline knowledge packs, local AI, distributed/fallback services</w:t>
            </w:r>
          </w:p>
        </w:tc>
        <w:tc>
          <w:tcPr>
            <w:tcW w:type="dxa" w:w="3293"/>
            <w:tcMar>
              <w:top w:w="90" w:type="dxa"/>
              <w:start w:w="90" w:type="dxa"/>
              <w:bottom w:w="90" w:type="dxa"/>
              <w:end w:w="90" w:type="dxa"/>
            </w:tcMar>
            <w:vAlign w:val="top"/>
          </w:tcPr>
          <w:p>
            <w:r>
              <w:rPr>
                <w:rFonts w:ascii="Aptos" w:hAnsi="Aptos"/>
                <w:b w:val="0"/>
                <w:color w:val="1A1A1A"/>
                <w:sz w:val="18"/>
              </w:rPr>
              <w:t>Deepens independence and continuity across the entire portfolio.</w:t>
            </w:r>
          </w:p>
        </w:tc>
      </w:tr>
    </w:tbl>
    <w:p>
      <w:pPr>
        <w:pStyle w:val="Heading1"/>
      </w:pPr>
      <w:r>
        <w:t>10. Governance ideas worth deciding early</w:t>
      </w:r>
    </w:p>
    <w:p>
      <w:r>
        <w:rPr>
          <w:rFonts w:ascii="Aptos" w:hAnsi="Aptos"/>
          <w:b/>
          <w:color w:val="17324D"/>
        </w:rPr>
        <w:t xml:space="preserve">Evidence policy — </w:t>
      </w:r>
      <w:r>
        <w:rPr>
          <w:rFonts w:ascii="Aptos" w:hAnsi="Aptos"/>
        </w:rPr>
        <w:t>What qualifies as primary, secondary, inferred, disputed, or unknown evidence?</w:t>
      </w:r>
    </w:p>
    <w:p>
      <w:r>
        <w:rPr>
          <w:rFonts w:ascii="Aptos" w:hAnsi="Aptos"/>
          <w:b/>
          <w:color w:val="17324D"/>
        </w:rPr>
        <w:t xml:space="preserve">Corrections — </w:t>
      </w:r>
      <w:r>
        <w:rPr>
          <w:rFonts w:ascii="Aptos" w:hAnsi="Aptos"/>
        </w:rPr>
        <w:t>Can an organization/person submit evidence or appeal a factual entry? How are changes logged?</w:t>
      </w:r>
    </w:p>
    <w:p>
      <w:r>
        <w:rPr>
          <w:rFonts w:ascii="Aptos" w:hAnsi="Aptos"/>
          <w:b/>
          <w:color w:val="17324D"/>
        </w:rPr>
        <w:t xml:space="preserve">Scoring — </w:t>
      </w:r>
      <w:r>
        <w:rPr>
          <w:rFonts w:ascii="Aptos" w:hAnsi="Aptos"/>
        </w:rPr>
        <w:t>Which scores are objective measurements, which are model estimates, and which are explicit value judgments?</w:t>
      </w:r>
    </w:p>
    <w:p>
      <w:r>
        <w:rPr>
          <w:rFonts w:ascii="Aptos" w:hAnsi="Aptos"/>
          <w:b/>
          <w:color w:val="17324D"/>
        </w:rPr>
        <w:t xml:space="preserve">Funding independence — </w:t>
      </w:r>
      <w:r>
        <w:rPr>
          <w:rFonts w:ascii="Aptos" w:hAnsi="Aptos"/>
        </w:rPr>
        <w:t>Which corporate donations, sponsorships, affiliate relationships, or grants are unacceptable because they compromise trust?</w:t>
      </w:r>
    </w:p>
    <w:p>
      <w:r>
        <w:rPr>
          <w:rFonts w:ascii="Aptos" w:hAnsi="Aptos"/>
          <w:b/>
          <w:color w:val="17324D"/>
        </w:rPr>
        <w:t xml:space="preserve">Political neutrality vs. moral commitments — </w:t>
      </w:r>
      <w:r>
        <w:rPr>
          <w:rFonts w:ascii="Aptos" w:hAnsi="Aptos"/>
        </w:rPr>
        <w:t>How will the foundation remain legally nonpartisan where required while openly maintaining human-rights and anti-discrimination principles?</w:t>
      </w:r>
    </w:p>
    <w:p>
      <w:r>
        <w:rPr>
          <w:rFonts w:ascii="Aptos" w:hAnsi="Aptos"/>
          <w:b/>
          <w:color w:val="17324D"/>
        </w:rPr>
        <w:t xml:space="preserve">Community power — </w:t>
      </w:r>
      <w:r>
        <w:rPr>
          <w:rFonts w:ascii="Aptos" w:hAnsi="Aptos"/>
        </w:rPr>
        <w:t>What can volunteers decide? What requires professional staff? What requires board approval?</w:t>
      </w:r>
    </w:p>
    <w:p>
      <w:r>
        <w:rPr>
          <w:rFonts w:ascii="Aptos" w:hAnsi="Aptos"/>
          <w:b/>
          <w:color w:val="17324D"/>
        </w:rPr>
        <w:t xml:space="preserve">Security and abuse — </w:t>
      </w:r>
      <w:r>
        <w:rPr>
          <w:rFonts w:ascii="Aptos" w:hAnsi="Aptos"/>
        </w:rPr>
        <w:t>How will the system resist brigading, fabricated evidence, harassment, doxxing, and strategic manipulation of ratings?</w:t>
      </w:r>
    </w:p>
    <w:p>
      <w:r>
        <w:rPr>
          <w:rFonts w:ascii="Aptos" w:hAnsi="Aptos"/>
          <w:b/>
          <w:color w:val="17324D"/>
        </w:rPr>
        <w:t xml:space="preserve">AI policy — </w:t>
      </w:r>
      <w:r>
        <w:rPr>
          <w:rFonts w:ascii="Aptos" w:hAnsi="Aptos"/>
        </w:rPr>
        <w:t>Where may AI generate, infer, rank, or summarize? Where is human review mandatory? How is model uncertainty exposed?</w:t>
      </w:r>
    </w:p>
    <w:p>
      <w:r>
        <w:rPr>
          <w:rFonts w:ascii="Aptos" w:hAnsi="Aptos"/>
          <w:b/>
          <w:color w:val="17324D"/>
        </w:rPr>
        <w:t xml:space="preserve">Longevity — </w:t>
      </w:r>
      <w:r>
        <w:rPr>
          <w:rFonts w:ascii="Aptos" w:hAnsi="Aptos"/>
        </w:rPr>
        <w:t>What data and software must remain exportable and usable if the organization disappears?</w:t>
      </w:r>
    </w:p>
    <w:p>
      <w:pPr>
        <w:pStyle w:val="Heading1"/>
      </w:pPr>
      <w:r>
        <w:t>11. Naming / language directions</w:t>
      </w:r>
    </w:p>
    <w:p>
      <w:r>
        <w:rPr>
          <w:rFonts w:ascii="Aptos" w:hAnsi="Aptos"/>
        </w:rPr>
        <w:t>Because Kindredly is a product with a family-centered identity, the umbrella may benefit from a broader name. These are directions rather than final recommendations:</w:t>
      </w:r>
    </w:p>
    <w:p>
      <w:pPr>
        <w:pStyle w:val="ListBullet"/>
        <w:spacing w:after="40"/>
        <w:ind w:left="259"/>
      </w:pPr>
      <w:r>
        <w:rPr>
          <w:rFonts w:ascii="Aptos" w:hAnsi="Aptos"/>
          <w:color w:val="1A1A1A"/>
        </w:rPr>
        <w:t>Open Digital Commons — emphasizes shared infrastructure and public-interest software.</w:t>
      </w:r>
    </w:p>
    <w:p>
      <w:pPr>
        <w:pStyle w:val="ListBullet"/>
        <w:spacing w:after="40"/>
        <w:ind w:left="259"/>
      </w:pPr>
      <w:r>
        <w:rPr>
          <w:rFonts w:ascii="Aptos" w:hAnsi="Aptos"/>
          <w:color w:val="1A1A1A"/>
        </w:rPr>
        <w:t>Digital Agency Foundation — emphasizes the ability to understand and choose.</w:t>
      </w:r>
    </w:p>
    <w:p>
      <w:pPr>
        <w:pStyle w:val="ListBullet"/>
        <w:spacing w:after="40"/>
        <w:ind w:left="259"/>
      </w:pPr>
      <w:r>
        <w:rPr>
          <w:rFonts w:ascii="Aptos" w:hAnsi="Aptos"/>
          <w:color w:val="1A1A1A"/>
        </w:rPr>
        <w:t>Open Digital Life Foundation — friendly, broad, and anti-lock-in without sounding combative.</w:t>
      </w:r>
    </w:p>
    <w:p>
      <w:pPr>
        <w:pStyle w:val="ListBullet"/>
        <w:spacing w:after="40"/>
        <w:ind w:left="259"/>
      </w:pPr>
      <w:r>
        <w:rPr>
          <w:rFonts w:ascii="Aptos" w:hAnsi="Aptos"/>
          <w:color w:val="1A1A1A"/>
        </w:rPr>
        <w:t>Human-Centered Technology Foundation — clear mission, though generic.</w:t>
      </w:r>
    </w:p>
    <w:p>
      <w:pPr>
        <w:pStyle w:val="ListBullet"/>
        <w:spacing w:after="40"/>
        <w:ind w:left="259"/>
      </w:pPr>
      <w:r>
        <w:rPr>
          <w:rFonts w:ascii="Aptos" w:hAnsi="Aptos"/>
          <w:color w:val="1A1A1A"/>
        </w:rPr>
        <w:t>Digital Autonomy Foundation — precise, but “autonomy” can sound more technical or political.</w:t>
      </w:r>
    </w:p>
    <w:p>
      <w:pPr>
        <w:pStyle w:val="ListBullet"/>
        <w:spacing w:after="40"/>
        <w:ind w:left="259"/>
      </w:pPr>
      <w:r>
        <w:rPr>
          <w:rFonts w:ascii="Aptos" w:hAnsi="Aptos"/>
          <w:color w:val="1A1A1A"/>
        </w:rPr>
        <w:t>Common Good Technology — emphasizes mission and collective benefit.</w:t>
      </w:r>
    </w:p>
    <w:p>
      <w:r>
        <w:rPr>
          <w:rFonts w:ascii="Aptos" w:hAnsi="Aptos"/>
          <w:b/>
          <w:color w:val="2F7D7A"/>
        </w:rPr>
        <w:t xml:space="preserve">My preferred language for the concept: </w:t>
      </w:r>
      <w:r>
        <w:rPr>
          <w:rFonts w:ascii="Aptos" w:hAnsi="Aptos"/>
        </w:rPr>
        <w:t>“digital autonomy,” “vendor-independent,” “interoperable,” “user-controlled,” and “open digital commons.” These describe what you are for, not merely what you are against.</w:t>
      </w:r>
    </w:p>
    <w:p>
      <w:pPr>
        <w:pStyle w:val="Heading1"/>
      </w:pPr>
      <w:r>
        <w:t>12. Existing models to learn from (not copies)</w:t>
      </w:r>
    </w:p>
    <w:p>
      <w:r>
        <w:rPr>
          <w:rFonts w:ascii="Aptos" w:hAnsi="Aptos"/>
        </w:rPr>
        <w:t>No single organization matches this full concept, but several demonstrate pieces of the model:</w:t>
      </w:r>
    </w:p>
    <w:p>
      <w:r>
        <w:rPr>
          <w:rFonts w:ascii="Aptos" w:hAnsi="Aptos"/>
          <w:b/>
          <w:color w:val="17324D"/>
        </w:rPr>
        <w:t xml:space="preserve">Wikimedia Foundation — </w:t>
      </w:r>
      <w:r>
        <w:rPr>
          <w:rFonts w:ascii="Aptos" w:hAnsi="Aptos"/>
        </w:rPr>
        <w:t xml:space="preserve">Volunteer-supported public knowledge infrastructure and open licensing. </w:t>
      </w:r>
      <w:hyperlink r:id="rId10">
        <w:r>
          <w:rPr>
            <w:color w:val="2F7D7A"/>
            <w:u w:val="single"/>
            <w:rFonts w:ascii="Aptos" w:hAnsi="Aptos"/>
          </w:rPr>
          <w:t>Source</w:t>
        </w:r>
      </w:hyperlink>
    </w:p>
    <w:p>
      <w:r>
        <w:rPr>
          <w:rFonts w:ascii="Aptos" w:hAnsi="Aptos"/>
          <w:b/>
          <w:color w:val="17324D"/>
        </w:rPr>
        <w:t xml:space="preserve">Consumer Reports — </w:t>
      </w:r>
      <w:r>
        <w:rPr>
          <w:rFonts w:ascii="Aptos" w:hAnsi="Aptos"/>
        </w:rPr>
        <w:t xml:space="preserve">Independent nonprofit research and ratings designed to improve consumer decision-making. </w:t>
      </w:r>
      <w:hyperlink r:id="rId11">
        <w:r>
          <w:rPr>
            <w:color w:val="2F7D7A"/>
            <w:u w:val="single"/>
            <w:rFonts w:ascii="Aptos" w:hAnsi="Aptos"/>
          </w:rPr>
          <w:t>Source</w:t>
        </w:r>
      </w:hyperlink>
    </w:p>
    <w:p>
      <w:r>
        <w:rPr>
          <w:rFonts w:ascii="Aptos" w:hAnsi="Aptos"/>
          <w:b/>
          <w:color w:val="17324D"/>
        </w:rPr>
        <w:t xml:space="preserve">Electronic Frontier Foundation — </w:t>
      </w:r>
      <w:r>
        <w:rPr>
          <w:rFonts w:ascii="Aptos" w:hAnsi="Aptos"/>
        </w:rPr>
        <w:t xml:space="preserve">Digital rights work combining public education, policy/legal expertise, activism, and technology. </w:t>
      </w:r>
      <w:hyperlink r:id="rId12">
        <w:r>
          <w:rPr>
            <w:color w:val="2F7D7A"/>
            <w:u w:val="single"/>
            <w:rFonts w:ascii="Aptos" w:hAnsi="Aptos"/>
          </w:rPr>
          <w:t>Source</w:t>
        </w:r>
      </w:hyperlink>
    </w:p>
    <w:p>
      <w:r>
        <w:rPr>
          <w:rFonts w:ascii="Aptos" w:hAnsi="Aptos"/>
          <w:b/>
          <w:color w:val="17324D"/>
        </w:rPr>
        <w:t xml:space="preserve">Signal Technology Foundation — </w:t>
      </w:r>
      <w:r>
        <w:rPr>
          <w:rFonts w:ascii="Aptos" w:hAnsi="Aptos"/>
        </w:rPr>
        <w:t xml:space="preserve">A nonprofit model for widely used open-source privacy technology. </w:t>
      </w:r>
      <w:hyperlink r:id="rId13">
        <w:r>
          <w:rPr>
            <w:color w:val="2F7D7A"/>
            <w:u w:val="single"/>
            <w:rFonts w:ascii="Aptos" w:hAnsi="Aptos"/>
          </w:rPr>
          <w:t>Source</w:t>
        </w:r>
      </w:hyperlink>
    </w:p>
    <w:p>
      <w:r>
        <w:rPr>
          <w:rFonts w:ascii="Aptos" w:hAnsi="Aptos"/>
          <w:b/>
          <w:color w:val="17324D"/>
        </w:rPr>
        <w:t xml:space="preserve">Mozilla — </w:t>
      </w:r>
      <w:r>
        <w:rPr>
          <w:rFonts w:ascii="Aptos" w:hAnsi="Aptos"/>
        </w:rPr>
        <w:t xml:space="preserve">A useful precedent for separating public-interest foundation work from market-based operating activity through affiliated entities. </w:t>
      </w:r>
      <w:hyperlink r:id="rId14">
        <w:r>
          <w:rPr>
            <w:color w:val="2F7D7A"/>
            <w:u w:val="single"/>
            <w:rFonts w:ascii="Aptos" w:hAnsi="Aptos"/>
          </w:rPr>
          <w:t>Source</w:t>
        </w:r>
      </w:hyperlink>
    </w:p>
    <w:p>
      <w:pPr>
        <w:pStyle w:val="Heading1"/>
      </w:pPr>
      <w:r>
        <w:t>13. The decision I would make next</w:t>
      </w:r>
    </w:p>
    <w:tbl>
      <w:tblPr>
        <w:tblW w:type="auto" w:w="0"/>
        <w:jc w:val="center"/>
        <w:tblLayout w:type="autofit"/>
        <w:tblLook w:firstColumn="1" w:firstRow="1" w:lastColumn="0" w:lastRow="0" w:noHBand="0" w:noVBand="1" w:val="04A0"/>
      </w:tblPr>
      <w:tblGrid>
        <w:gridCol w:w="9878"/>
      </w:tblGrid>
      <w:tr>
        <w:trPr>
          <w:cantSplit/>
        </w:trPr>
        <w:tc>
          <w:tcPr>
            <w:tcW w:type="dxa" w:w="9878"/>
            <w:shd w:fill="EEF6F4"/>
            <w:tcMar>
              <w:top w:w="120" w:type="dxa"/>
              <w:start w:w="150" w:type="dxa"/>
              <w:bottom w:w="120" w:type="dxa"/>
              <w:end w:w="150" w:type="dxa"/>
            </w:tcMar>
            <w:vAlign w:val="top"/>
          </w:tcPr>
          <w:p>
            <w:pPr>
              <w:spacing w:after="80"/>
            </w:pPr>
            <w:r>
              <w:rPr>
                <w:rFonts w:ascii="Aptos" w:hAnsi="Aptos"/>
                <w:b/>
                <w:color w:val="2F7D7A"/>
                <w:sz w:val="21"/>
              </w:rPr>
              <w:t>Choose one sentence, one substrate, and one wedge.</w:t>
            </w:r>
          </w:p>
          <w:p>
            <w:pPr>
              <w:spacing w:after="0"/>
            </w:pPr>
            <w:r>
              <w:rPr>
                <w:rFonts w:ascii="Aptos" w:hAnsi="Aptos"/>
                <w:color w:val="1A1A1A"/>
                <w:sz w:val="20"/>
              </w:rPr>
              <w:t>One sentence: the mission. One substrate: provenance/evidence + local preferences + open schemas. One wedge: a small Kindredly/Good Web experience people can use immediately. That combination lets the broader foundation remain ambitious without becoming abstract.</w:t>
            </w:r>
          </w:p>
        </w:tc>
      </w:tr>
    </w:tbl>
    <w:p>
      <w:pPr>
        <w:spacing w:after="0"/>
      </w:pPr>
    </w:p>
    <w:p>
      <w:r>
        <w:rPr>
          <w:rFonts w:ascii="Aptos" w:hAnsi="Aptos"/>
          <w:b/>
          <w:color w:val="17324D"/>
        </w:rPr>
        <w:t>The long-term vision can remain expansive. The near-term plan should feel almost uncomfortably narrow. If the first public artifact proves that technology can be calmer, more inspectable, more private, and easier to leave, the foundation will have demonstrated the philosophy before asking people to believe the entire worldview.</w:t>
      </w:r>
    </w:p>
    <w:p>
      <w:pPr>
        <w:pStyle w:val="Heading2"/>
      </w:pPr>
      <w:r>
        <w:t>Questions for the next iteration</w:t>
      </w:r>
    </w:p>
    <w:p>
      <w:pPr>
        <w:pStyle w:val="ListBullet"/>
        <w:spacing w:after="40"/>
        <w:ind w:left="259"/>
      </w:pPr>
      <w:r>
        <w:rPr>
          <w:rFonts w:ascii="Aptos" w:hAnsi="Aptos"/>
          <w:color w:val="1A1A1A"/>
        </w:rPr>
        <w:t>Should the umbrella be primarily a technology builder, a standards/data institution, an education organization—or explicitly all three?</w:t>
      </w:r>
    </w:p>
    <w:p>
      <w:pPr>
        <w:pStyle w:val="ListBullet"/>
        <w:spacing w:after="40"/>
        <w:ind w:left="259"/>
      </w:pPr>
      <w:r>
        <w:rPr>
          <w:rFonts w:ascii="Aptos" w:hAnsi="Aptos"/>
          <w:color w:val="1A1A1A"/>
        </w:rPr>
        <w:t>Do you want Kindredly to become nonprofit-owned eventually, or remain an independent mission-driven company that collaborates with the foundation?</w:t>
      </w:r>
    </w:p>
    <w:p>
      <w:pPr>
        <w:pStyle w:val="ListBullet"/>
        <w:spacing w:after="40"/>
        <w:ind w:left="259"/>
      </w:pPr>
      <w:r>
        <w:rPr>
          <w:rFonts w:ascii="Aptos" w:hAnsi="Aptos"/>
          <w:color w:val="1A1A1A"/>
        </w:rPr>
        <w:t>Which project would you still want to build if the others disappeared? That is a useful test for the first wedge.</w:t>
      </w:r>
    </w:p>
    <w:p>
      <w:pPr>
        <w:pStyle w:val="ListBullet"/>
        <w:spacing w:after="40"/>
        <w:ind w:left="259"/>
      </w:pPr>
      <w:r>
        <w:rPr>
          <w:rFonts w:ascii="Aptos" w:hAnsi="Aptos"/>
          <w:color w:val="1A1A1A"/>
        </w:rPr>
        <w:t>How strongly should the organization itself encode ethical weights versus providing transparent data and allowing users to choose weights?</w:t>
      </w:r>
    </w:p>
    <w:p>
      <w:pPr>
        <w:pStyle w:val="ListBullet"/>
        <w:spacing w:after="40"/>
        <w:ind w:left="259"/>
      </w:pPr>
      <w:r>
        <w:rPr>
          <w:rFonts w:ascii="Aptos" w:hAnsi="Aptos"/>
          <w:color w:val="1A1A1A"/>
        </w:rPr>
        <w:t>Should the foundation aim for a global mission from day one, or begin with U.S.-centric data/legal systems and internationalize later?</w:t>
      </w:r>
    </w:p>
    <w:p>
      <w:pPr>
        <w:pStyle w:val="Heading1"/>
      </w:pPr>
      <w:r>
        <w:t>Reference notes</w:t>
      </w:r>
    </w:p>
    <w:p>
      <w:r>
        <w:rPr>
          <w:rFonts w:ascii="Aptos" w:hAnsi="Aptos"/>
          <w:color w:val="4D5B66"/>
          <w:sz w:val="19"/>
        </w:rPr>
        <w:t>This document is primarily a synthesis and strategic expansion of the founder’s supplied concept notes. The organizational examples and U.S. nonprofit caution were checked against public sources current as of August 31, 2026.</w:t>
      </w:r>
    </w:p>
    <w:p>
      <w:pPr>
        <w:pStyle w:val="ListBullet"/>
        <w:spacing w:after="40"/>
      </w:pPr>
      <w:hyperlink r:id="rId15">
        <w:r>
          <w:rPr>
            <w:color w:val="2F7D7A"/>
            <w:u w:val="single"/>
            <w:rFonts w:ascii="Aptos" w:hAnsi="Aptos"/>
          </w:rPr>
          <w:t>IRS: political campaign intervention rule for 501(c)(3) organizations</w:t>
        </w:r>
      </w:hyperlink>
    </w:p>
    <w:p>
      <w:pPr>
        <w:pStyle w:val="ListBullet"/>
        <w:spacing w:after="40"/>
      </w:pPr>
      <w:hyperlink r:id="rId16">
        <w:r>
          <w:rPr>
            <w:color w:val="2F7D7A"/>
            <w:u w:val="single"/>
            <w:rFonts w:ascii="Aptos" w:hAnsi="Aptos"/>
          </w:rPr>
          <w:t>IRS: public charities vs. private foundations</w:t>
        </w:r>
      </w:hyperlink>
    </w:p>
    <w:p>
      <w:pPr>
        <w:pStyle w:val="ListBullet"/>
        <w:spacing w:after="40"/>
      </w:pPr>
      <w:hyperlink r:id="rId10">
        <w:r>
          <w:rPr>
            <w:color w:val="2F7D7A"/>
            <w:u w:val="single"/>
            <w:rFonts w:ascii="Aptos" w:hAnsi="Aptos"/>
          </w:rPr>
          <w:t>Wikimedia Foundation mission</w:t>
        </w:r>
      </w:hyperlink>
    </w:p>
    <w:p>
      <w:pPr>
        <w:pStyle w:val="ListBullet"/>
        <w:spacing w:after="40"/>
      </w:pPr>
      <w:hyperlink r:id="rId11">
        <w:r>
          <w:rPr>
            <w:color w:val="2F7D7A"/>
            <w:u w:val="single"/>
            <w:rFonts w:ascii="Aptos" w:hAnsi="Aptos"/>
          </w:rPr>
          <w:t>Consumer Reports: what we do</w:t>
        </w:r>
      </w:hyperlink>
    </w:p>
    <w:p>
      <w:pPr>
        <w:pStyle w:val="ListBullet"/>
        <w:spacing w:after="40"/>
      </w:pPr>
      <w:hyperlink r:id="rId12">
        <w:r>
          <w:rPr>
            <w:color w:val="2F7D7A"/>
            <w:u w:val="single"/>
            <w:rFonts w:ascii="Aptos" w:hAnsi="Aptos"/>
          </w:rPr>
          <w:t>EFF</w:t>
        </w:r>
      </w:hyperlink>
    </w:p>
    <w:p>
      <w:pPr>
        <w:pStyle w:val="ListBullet"/>
        <w:spacing w:after="40"/>
      </w:pPr>
      <w:hyperlink r:id="rId13">
        <w:r>
          <w:rPr>
            <w:color w:val="2F7D7A"/>
            <w:u w:val="single"/>
            <w:rFonts w:ascii="Aptos" w:hAnsi="Aptos"/>
          </w:rPr>
          <w:t>Signal Foundation</w:t>
        </w:r>
      </w:hyperlink>
    </w:p>
    <w:p>
      <w:pPr>
        <w:pStyle w:val="ListBullet"/>
        <w:spacing w:after="40"/>
      </w:pPr>
      <w:hyperlink r:id="rId14">
        <w:r>
          <w:rPr>
            <w:color w:val="2F7D7A"/>
            <w:u w:val="single"/>
            <w:rFonts w:ascii="Aptos" w:hAnsi="Aptos"/>
          </w:rPr>
          <w:t>Mozilla Foundation</w:t>
        </w:r>
      </w:hyperlink>
    </w:p>
    <w:p>
      <w:r>
        <w:rPr>
          <w:rFonts w:ascii="Aptos" w:hAnsi="Aptos"/>
          <w:b/>
          <w:color w:val="8B3A3A"/>
          <w:sz w:val="18"/>
        </w:rPr>
        <w:t xml:space="preserve">Legal/tax note: </w:t>
      </w:r>
      <w:r>
        <w:rPr>
          <w:rFonts w:ascii="Aptos" w:hAnsi="Aptos"/>
          <w:color w:val="4D5B66"/>
          <w:sz w:val="18"/>
        </w:rPr>
        <w:t>This document is strategic brainstorming, not legal, tax, or nonprofit-formation advice. Entity structure and political/advocacy activity should be reviewed by qualified counsel.</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jc w:val="right"/>
    </w:pPr>
    <w:r>
      <w:rPr>
        <w:rFonts w:ascii="Aptos" w:hAnsi="Aptos"/>
        <w:color w:val="4D5B66"/>
        <w:sz w:val="17"/>
      </w:rPr>
      <w:t>Kindredly + Foundation Concept  |  Working draft</w:t>
    </w:r>
    <w:r>
      <w:tab/>
    </w:r>
    <w:r>
      <w:rPr>
        <w:rFonts w:ascii="Aptos" w:hAnsi="Aptos"/>
        <w:color w:val="4D5B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D7A"/>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D5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color w:val="4D5B66"/>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ikimediafoundation.org/who-we-are/mission/" TargetMode="External"/><Relationship Id="rId11" Type="http://schemas.openxmlformats.org/officeDocument/2006/relationships/hyperlink" Target="https://www.consumerreports.org/about-us/what-we-do/" TargetMode="External"/><Relationship Id="rId12" Type="http://schemas.openxmlformats.org/officeDocument/2006/relationships/hyperlink" Target="https://www.eff.org/" TargetMode="External"/><Relationship Id="rId13" Type="http://schemas.openxmlformats.org/officeDocument/2006/relationships/hyperlink" Target="https://signal.org/blog/signal-foundation/" TargetMode="External"/><Relationship Id="rId14" Type="http://schemas.openxmlformats.org/officeDocument/2006/relationships/hyperlink" Target="https://foundation.mozilla.org/" TargetMode="External"/><Relationship Id="rId15" Type="http://schemas.openxmlformats.org/officeDocument/2006/relationships/hyperlink" Target="https://www.irs.gov/charities-non-profits/charitable-organizations/restriction-of-political-campaign-intervention-by-section-501c3-tax-exempt-organizations" TargetMode="External"/><Relationship Id="rId16" Type="http://schemas.openxmlformats.org/officeDocument/2006/relationships/hyperlink" Target="https://www.irs.gov/charities-non-profits/eo-operational-requirements-private-foundations-and-public-char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