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aolo-zuffa"/>
    <w:p>
      <w:pPr>
        <w:pStyle w:val="Heading1"/>
      </w:pPr>
      <w:r>
        <w:t xml:space="preserve">Paolo Zuffa</w:t>
      </w:r>
    </w:p>
    <w:p>
      <w:pPr>
        <w:pStyle w:val="FirstParagraph"/>
      </w:pPr>
      <w:r>
        <w:rPr>
          <w:bCs/>
          <w:b/>
        </w:rPr>
        <w:t xml:space="preserve">Independent Researcher | AI Ethics &amp; Socioaffective Alignment</w:t>
      </w:r>
    </w:p>
    <w:p>
      <w:pPr>
        <w:pStyle w:val="BodyText"/>
      </w:pPr>
      <w:r>
        <w:t xml:space="preserve">📧 paolo.zuffa@gmail.com</w:t>
      </w:r>
      <w:r>
        <w:br/>
      </w:r>
      <w:r>
        <w:t xml:space="preserve">🔗 ORCID:</w:t>
      </w:r>
      <w:r>
        <w:t xml:space="preserve"> </w:t>
      </w:r>
      <w:hyperlink r:id="rId20">
        <w:r>
          <w:rPr>
            <w:rStyle w:val="Hyperlink"/>
          </w:rPr>
          <w:t xml:space="preserve">0009-0006-3649-6345</w:t>
        </w:r>
      </w:hyperlink>
      <w:r>
        <w:br/>
      </w:r>
      <w:r>
        <w:t xml:space="preserve">📍 Italy</w:t>
      </w:r>
    </w:p>
    <w:p>
      <w:r>
        <w:pict>
          <v:rect style="width:0;height:1.5pt" o:hralign="center" o:hrstd="t" o:hr="t"/>
        </w:pict>
      </w:r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practiced as an international business lawyer for almost thirty years — EU antitrust, M&amp;A, regulatory compliance — with Slaughter and May, Gide Loyrette Nouel, and as an independent consultant across Europe and Russia.</w:t>
      </w:r>
    </w:p>
    <w:p>
      <w:pPr>
        <w:pStyle w:val="BodyText"/>
      </w:pPr>
      <w:r>
        <w:t xml:space="preserve">Since 2019 I have focused on how conversational AI systems can meet emerging compliance requirements (EU AI Act Article 50, FTC oversight, dependency-reduction mandates) not as bolt-on safeguards but as architectural commitments.</w:t>
      </w:r>
    </w:p>
    <w:p>
      <w:pPr>
        <w:pStyle w:val="BodyText"/>
      </w:pPr>
      <w:r>
        <w:t xml:space="preserve">The Reflective Architecture treats dependency-resistance as a first-class design constraint and advances three claims: user veto over memory formation (not retrospective erasure but refusal of interpretation); memory as a chronology of meaning rather than an accumulation of facts; and arc-neutrality as a structural rule (no encoded preference for growth, resolution, or healing).</w:t>
      </w:r>
    </w:p>
    <w:p>
      <w:pPr>
        <w:pStyle w:val="BodyText"/>
      </w:pPr>
      <w:r>
        <w:t xml:space="preserve">The framework is published openly and is designed to be tested, challenged, and built. I am open to advisory or research roles with organisations working on trust &amp; safety, alignment, or regulatory strategy for conversational AI.</w:t>
      </w:r>
    </w:p>
    <w:p>
      <w:r>
        <w:pict>
          <v:rect style="width:0;height:1.5pt" o:hralign="center" o:hrstd="t" o:hr="t"/>
        </w:pict>
      </w:r>
    </w:p>
    <w:bookmarkEnd w:id="21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Xe56156f0eff57f1c0c1f2c09fffc5b193bb6227"/>
    <w:p>
      <w:pPr>
        <w:pStyle w:val="Heading3"/>
      </w:pPr>
      <w:r>
        <w:t xml:space="preserve">Independent Researcher — AI Ethics &amp; Socioaffective Alignment</w:t>
      </w:r>
    </w:p>
    <w:p>
      <w:pPr>
        <w:pStyle w:val="FirstParagraph"/>
      </w:pPr>
      <w:r>
        <w:rPr>
          <w:bCs/>
          <w:b/>
        </w:rPr>
        <w:t xml:space="preserve">Self-employed</w:t>
      </w:r>
      <w:r>
        <w:br/>
      </w:r>
      <w:r>
        <w:rPr>
          <w:bCs/>
          <w:b/>
        </w:rPr>
        <w:t xml:space="preserve">2019 – Present | Italy</w:t>
      </w:r>
    </w:p>
    <w:p>
      <w:pPr>
        <w:pStyle w:val="BodyText"/>
      </w:pPr>
      <w:r>
        <w:t xml:space="preserve">Research on dependency-resistant design for conversational AI, with emphasis on regulatory compliance (EU AI Act) and socioaffective alignment.</w:t>
      </w:r>
    </w:p>
    <w:p>
      <w:pPr>
        <w:pStyle w:val="BodyText"/>
      </w:pPr>
      <w:r>
        <w:t xml:space="preserve">Developed</w:t>
      </w:r>
      <w:r>
        <w:t xml:space="preserve"> </w:t>
      </w:r>
      <w:r>
        <w:rPr>
          <w:iCs/>
          <w:i/>
        </w:rPr>
        <w:t xml:space="preserve">The Reflective Architecture</w:t>
      </w:r>
      <w:r>
        <w:t xml:space="preserve">, a framework for presence-centered conversational AI published on SSRN (2026) with companion technical specifications.</w:t>
      </w:r>
    </w:p>
    <w:p>
      <w:pPr>
        <w:pStyle w:val="BodyText"/>
      </w:pPr>
      <w:r>
        <w:t xml:space="preserve">Research areas: memory architecture, user sovereignty, arc-neutral interaction design, intentional forgetting, distress response protocols.</w:t>
      </w:r>
    </w:p>
    <w:p>
      <w:pPr>
        <w:pStyle w:val="BodyText"/>
      </w:pPr>
      <w:r>
        <w:rPr>
          <w:bCs/>
          <w:b/>
        </w:rPr>
        <w:t xml:space="preserve">Publications: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  <w:iCs/>
            <w:i/>
          </w:rPr>
          <w:t xml:space="preserve">The Reflective Architecture: A Framework for Presence-Centred, Dependency-Resistant AI</w:t>
        </w:r>
      </w:hyperlink>
      <w:r>
        <w:t xml:space="preserve"> </w:t>
      </w:r>
      <w:r>
        <w:t xml:space="preserve">(SSRN, 2026)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  <w:iCs/>
            <w:i/>
          </w:rPr>
          <w:t xml:space="preserve">The Reflective — Conversational Behaviour Specification</w:t>
        </w:r>
      </w:hyperlink>
      <w:r>
        <w:t xml:space="preserve"> </w:t>
      </w:r>
      <w:r>
        <w:t xml:space="preserve">(2026)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  <w:iCs/>
            <w:i/>
          </w:rPr>
          <w:t xml:space="preserve">The Reflective — MVP Scope &amp; Product Requirements</w:t>
        </w:r>
      </w:hyperlink>
      <w:r>
        <w:t xml:space="preserve"> </w:t>
      </w:r>
      <w:r>
        <w:t xml:space="preserve">(2026)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  <w:iCs/>
            <w:i/>
          </w:rPr>
          <w:t xml:space="preserve">Humanising AI — The Reflective Architecture (Manifesto)</w:t>
        </w:r>
      </w:hyperlink>
      <w:r>
        <w:t xml:space="preserve"> </w:t>
      </w:r>
      <w:r>
        <w:t xml:space="preserve">(2026)</w:t>
      </w:r>
    </w:p>
    <w:p>
      <w:r>
        <w:pict>
          <v:rect style="width:0;height:1.5pt" o:hralign="center" o:hrstd="t" o:hr="t"/>
        </w:pict>
      </w:r>
    </w:p>
    <w:bookmarkEnd w:id="26"/>
    <w:bookmarkStart w:id="27" w:name="independent-business-consultant"/>
    <w:p>
      <w:pPr>
        <w:pStyle w:val="Heading3"/>
      </w:pPr>
      <w:r>
        <w:t xml:space="preserve">Independent Business Consultant</w:t>
      </w:r>
    </w:p>
    <w:p>
      <w:pPr>
        <w:pStyle w:val="FirstParagraph"/>
      </w:pPr>
      <w:r>
        <w:rPr>
          <w:bCs/>
          <w:b/>
        </w:rPr>
        <w:t xml:space="preserve">Self-employed</w:t>
      </w:r>
      <w:r>
        <w:br/>
      </w:r>
      <w:r>
        <w:rPr>
          <w:bCs/>
          <w:b/>
        </w:rPr>
        <w:t xml:space="preserve">2015 – 2019 | Tbilisi, Georgia</w:t>
      </w:r>
    </w:p>
    <w:p>
      <w:pPr>
        <w:pStyle w:val="BodyText"/>
      </w:pPr>
      <w:r>
        <w:t xml:space="preserve">Advised international clients on business development, origination, and execution in the South Caucasus region.</w:t>
      </w:r>
    </w:p>
    <w:p>
      <w:pPr>
        <w:pStyle w:val="BodyText"/>
      </w:pPr>
      <w:r>
        <w:rPr>
          <w:bCs/>
          <w:b/>
        </w:rPr>
        <w:t xml:space="preserve">Key engagements:</w:t>
      </w:r>
      <w:r>
        <w:t xml:space="preserve"> </w:t>
      </w:r>
      <w:r>
        <w:t xml:space="preserve">- Advised a major Italian general contractor on World Bank and Asian Development Bank international procurement tenders for road construction projects in Georgia</w:t>
      </w:r>
      <w:r>
        <w:t xml:space="preserve"> </w:t>
      </w:r>
      <w:r>
        <w:t xml:space="preserve">- Advised an Italian contractor on a public tender for the construction of a waste management facility in Georgia</w:t>
      </w:r>
    </w:p>
    <w:p>
      <w:pPr>
        <w:pStyle w:val="BodyText"/>
      </w:pPr>
      <w:r>
        <w:rPr>
          <w:bCs/>
          <w:b/>
        </w:rPr>
        <w:t xml:space="preserve">Focus areas:</w:t>
      </w:r>
      <w:r>
        <w:t xml:space="preserve"> </w:t>
      </w:r>
      <w:r>
        <w:t xml:space="preserve">International procurement, tender strategy, cross-border advisory</w:t>
      </w:r>
    </w:p>
    <w:p>
      <w:r>
        <w:pict>
          <v:rect style="width:0;height:1.5pt" o:hralign="center" o:hrstd="t" o:hr="t"/>
        </w:pict>
      </w:r>
    </w:p>
    <w:bookmarkEnd w:id="27"/>
    <w:bookmarkStart w:id="28" w:name="independent-business-consultant-1"/>
    <w:p>
      <w:pPr>
        <w:pStyle w:val="Heading3"/>
      </w:pPr>
      <w:r>
        <w:t xml:space="preserve">Independent Business Consultant</w:t>
      </w:r>
    </w:p>
    <w:p>
      <w:pPr>
        <w:pStyle w:val="FirstParagraph"/>
      </w:pPr>
      <w:r>
        <w:rPr>
          <w:bCs/>
          <w:b/>
        </w:rPr>
        <w:t xml:space="preserve">Self-employed</w:t>
      </w:r>
      <w:r>
        <w:br/>
      </w:r>
      <w:r>
        <w:rPr>
          <w:bCs/>
          <w:b/>
        </w:rPr>
        <w:t xml:space="preserve">1998 – 2014 | Moscow, Russian Federation</w:t>
      </w:r>
    </w:p>
    <w:p>
      <w:pPr>
        <w:pStyle w:val="BodyText"/>
      </w:pPr>
      <w:r>
        <w:t xml:space="preserve">Advised multinational clients on strategic transactions and business development in the Russian market.</w:t>
      </w:r>
    </w:p>
    <w:p>
      <w:pPr>
        <w:pStyle w:val="BodyText"/>
      </w:pPr>
      <w:r>
        <w:rPr>
          <w:bCs/>
          <w:b/>
        </w:rPr>
        <w:t xml:space="preserve">Key engagements:</w:t>
      </w:r>
      <w:r>
        <w:t xml:space="preserve"> </w:t>
      </w:r>
      <w:r>
        <w:t xml:space="preserve">- Advised a major Russian group in the metal industry on the acquisition of an Italian steel smelter group (M&amp;A advisory)</w:t>
      </w:r>
      <w:r>
        <w:t xml:space="preserve"> </w:t>
      </w:r>
      <w:r>
        <w:t xml:space="preserve">- Advised an Italian company in the metal industry on building a raw material supply chain in Russia</w:t>
      </w:r>
      <w:r>
        <w:t xml:space="preserve"> </w:t>
      </w:r>
      <w:r>
        <w:t xml:space="preserve">- Advised an Italian producer of rail control systems on the sale of its product to Russian Railways (RZD)</w:t>
      </w:r>
    </w:p>
    <w:p>
      <w:pPr>
        <w:pStyle w:val="BodyText"/>
      </w:pPr>
      <w:r>
        <w:rPr>
          <w:bCs/>
          <w:b/>
        </w:rPr>
        <w:t xml:space="preserve">Focus areas:</w:t>
      </w:r>
      <w:r>
        <w:t xml:space="preserve"> </w:t>
      </w:r>
      <w:r>
        <w:t xml:space="preserve">M&amp;A, supply chain strategy, cross-border transactions</w:t>
      </w:r>
    </w:p>
    <w:p>
      <w:r>
        <w:pict>
          <v:rect style="width:0;height:1.5pt" o:hralign="center" o:hrstd="t" o:hr="t"/>
        </w:pict>
      </w:r>
    </w:p>
    <w:bookmarkEnd w:id="28"/>
    <w:bookmarkStart w:id="29" w:name="associate"/>
    <w:p>
      <w:pPr>
        <w:pStyle w:val="Heading3"/>
      </w:pPr>
      <w:r>
        <w:t xml:space="preserve">Associate</w:t>
      </w:r>
    </w:p>
    <w:p>
      <w:pPr>
        <w:pStyle w:val="FirstParagraph"/>
      </w:pPr>
      <w:r>
        <w:rPr>
          <w:bCs/>
          <w:b/>
        </w:rPr>
        <w:t xml:space="preserve">Gide Loyrette Nouel</w:t>
      </w:r>
      <w:r>
        <w:br/>
      </w:r>
      <w:r>
        <w:rPr>
          <w:bCs/>
          <w:b/>
        </w:rPr>
        <w:t xml:space="preserve">1996 – 1998 | Moscow, Russian Federation</w:t>
      </w:r>
    </w:p>
    <w:p>
      <w:pPr>
        <w:pStyle w:val="BodyText"/>
      </w:pPr>
      <w:r>
        <w:t xml:space="preserve">Practiced M&amp;A and Russian antitrust law during the post-Soviet transition period, advising international clients on transactions and regulatory compliance in a rapidly evolving legal environment.</w:t>
      </w:r>
    </w:p>
    <w:p>
      <w:r>
        <w:pict>
          <v:rect style="width:0;height:1.5pt" o:hralign="center" o:hrstd="t" o:hr="t"/>
        </w:pict>
      </w:r>
    </w:p>
    <w:bookmarkEnd w:id="29"/>
    <w:bookmarkStart w:id="30" w:name="associate-1"/>
    <w:p>
      <w:pPr>
        <w:pStyle w:val="Heading3"/>
      </w:pPr>
      <w:r>
        <w:t xml:space="preserve">Associate</w:t>
      </w:r>
    </w:p>
    <w:p>
      <w:pPr>
        <w:pStyle w:val="FirstParagraph"/>
      </w:pPr>
      <w:r>
        <w:rPr>
          <w:bCs/>
          <w:b/>
        </w:rPr>
        <w:t xml:space="preserve">Slaughter and May</w:t>
      </w:r>
      <w:r>
        <w:br/>
      </w:r>
      <w:r>
        <w:rPr>
          <w:bCs/>
          <w:b/>
        </w:rPr>
        <w:t xml:space="preserve">1992 – 1993 | Brussels, Belgium</w:t>
      </w:r>
    </w:p>
    <w:p>
      <w:pPr>
        <w:pStyle w:val="BodyText"/>
      </w:pPr>
      <w:r>
        <w:t xml:space="preserve">Practiced EU antitrust law, advising clients on competition law compliance, merger control, and regulatory strategy.</w:t>
      </w:r>
    </w:p>
    <w:p>
      <w:r>
        <w:pict>
          <v:rect style="width:0;height:1.5pt" o:hralign="center" o:hrstd="t" o:hr="t"/>
        </w:pict>
      </w:r>
    </w:p>
    <w:bookmarkEnd w:id="30"/>
    <w:bookmarkStart w:id="31" w:name="associate-2"/>
    <w:p>
      <w:pPr>
        <w:pStyle w:val="Heading3"/>
      </w:pPr>
      <w:r>
        <w:t xml:space="preserve">Associate</w:t>
      </w:r>
    </w:p>
    <w:p>
      <w:pPr>
        <w:pStyle w:val="FirstParagraph"/>
      </w:pPr>
      <w:r>
        <w:rPr>
          <w:bCs/>
          <w:b/>
        </w:rPr>
        <w:t xml:space="preserve">Slaughter and May</w:t>
      </w:r>
      <w:r>
        <w:br/>
      </w:r>
      <w:r>
        <w:rPr>
          <w:bCs/>
          <w:b/>
        </w:rPr>
        <w:t xml:space="preserve">1990 – 1992 | London, United Kingdom</w:t>
      </w:r>
    </w:p>
    <w:p>
      <w:pPr>
        <w:pStyle w:val="BodyText"/>
      </w:pPr>
      <w:r>
        <w:t xml:space="preserve">Practiced M&amp;A and UK company law, with a focus on asset and share purchase agreements, joint ventures, and distribution agreements.</w:t>
      </w:r>
    </w:p>
    <w:p>
      <w:r>
        <w:pict>
          <v:rect style="width:0;height:1.5pt" o:hralign="center" o:hrstd="t" o:hr="t"/>
        </w:pict>
      </w:r>
    </w:p>
    <w:bookmarkEnd w:id="31"/>
    <w:bookmarkStart w:id="32" w:name="ricercatore-research-fellow"/>
    <w:p>
      <w:pPr>
        <w:pStyle w:val="Heading3"/>
      </w:pPr>
      <w:r>
        <w:t xml:space="preserve">Ricercatore (Research Fellow)</w:t>
      </w:r>
    </w:p>
    <w:p>
      <w:pPr>
        <w:pStyle w:val="FirstParagraph"/>
      </w:pPr>
      <w:r>
        <w:rPr>
          <w:bCs/>
          <w:b/>
        </w:rPr>
        <w:t xml:space="preserve">University of Rome II (Tor Vergata)</w:t>
      </w:r>
      <w:r>
        <w:br/>
      </w:r>
      <w:r>
        <w:rPr>
          <w:bCs/>
          <w:b/>
        </w:rPr>
        <w:t xml:space="preserve">1985 – 1988 | Rome, Italy</w:t>
      </w:r>
    </w:p>
    <w:p>
      <w:pPr>
        <w:pStyle w:val="BodyText"/>
      </w:pPr>
      <w:r>
        <w:t xml:space="preserve">Lectured in International Law and EU Antitrust Law. Conducted research and taught graduate-level courses in European regulatory frameworks and international legal systems.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Law Degree</w:t>
      </w:r>
      <w:r>
        <w:br/>
      </w:r>
      <w:r>
        <w:t xml:space="preserve">Italy</w:t>
      </w:r>
    </w:p>
    <w:p>
      <w:pPr>
        <w:pStyle w:val="BodyText"/>
      </w:pPr>
      <w:r>
        <w:t xml:space="preserve">Admitted to the Bar (Italy)</w:t>
      </w:r>
    </w:p>
    <w:p>
      <w:r>
        <w:pict>
          <v:rect style="width:0;height:1.5pt" o:hralign="center" o:hrstd="t" o:hr="t"/>
        </w:pict>
      </w:r>
    </w:p>
    <w:bookmarkEnd w:id="34"/>
    <w:bookmarkStart w:id="36" w:name="current-work"/>
    <w:p>
      <w:pPr>
        <w:pStyle w:val="Heading2"/>
      </w:pPr>
      <w:r>
        <w:t xml:space="preserve">Current Work</w:t>
      </w:r>
    </w:p>
    <w:bookmarkStart w:id="35" w:name="the-reflective-architecture"/>
    <w:p>
      <w:pPr>
        <w:pStyle w:val="Heading3"/>
      </w:pPr>
      <w:r>
        <w:t xml:space="preserve">The Reflective Architecture</w:t>
      </w:r>
    </w:p>
    <w:p>
      <w:pPr>
        <w:pStyle w:val="FirstParagraph"/>
      </w:pPr>
      <w:r>
        <w:t xml:space="preserve">A design framework for conversational AI systems responsive to emerging regulatory requirements (EU AI Act Article 50, FTC inquiry, US state-level mandates). Treats dependency-resistance as a structural constraint rather than a bolt-on safeguard.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https://github.com/humanising-ai/reflective-architecture</w:t>
      </w:r>
      <w:r>
        <w:br/>
      </w:r>
      <w:r>
        <w:rPr>
          <w:bCs/>
          <w:b/>
        </w:rPr>
        <w:t xml:space="preserve">SSRN Paper:</w:t>
      </w:r>
      <w:r>
        <w:t xml:space="preserve"> </w:t>
      </w:r>
      <w:r>
        <w:t xml:space="preserve">https://ssrn.com/abstract=7202600</w:t>
      </w:r>
    </w:p>
    <w:p>
      <w:pPr>
        <w:pStyle w:val="BodyText"/>
      </w:pPr>
      <w:r>
        <w:t xml:space="preserve">The framework advances three core claims: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veto over memory formation</w:t>
      </w:r>
      <w:r>
        <w:t xml:space="preserve"> </w:t>
      </w:r>
      <w:r>
        <w:t xml:space="preserve">— not retrospective erasure rights, but the right to prevent interpretation from being formed in the first place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as a chronology of interpretations</w:t>
      </w:r>
      <w:r>
        <w:t xml:space="preserve"> </w:t>
      </w:r>
      <w:r>
        <w:t xml:space="preserve">— tracking how a person’s relationship to their own experience changes over time, rather than accumulating a fixed profile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Arc-neutrality as a structural constraint</w:t>
      </w:r>
      <w:r>
        <w:t xml:space="preserve"> </w:t>
      </w:r>
      <w:r>
        <w:t xml:space="preserve">— encoding no preferred emotional outcome (growth, resolution, healing)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Italian:</w:t>
      </w:r>
      <w:r>
        <w:t xml:space="preserve"> </w:t>
      </w:r>
      <w:r>
        <w:t xml:space="preserve">Native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English:</w:t>
      </w:r>
      <w:r>
        <w:t xml:space="preserve"> </w:t>
      </w:r>
      <w:r>
        <w:t xml:space="preserve">Proficient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Spanish:</w:t>
      </w:r>
      <w:r>
        <w:t xml:space="preserve"> </w:t>
      </w:r>
      <w:r>
        <w:t xml:space="preserve">Proficient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French:</w:t>
      </w:r>
      <w:r>
        <w:t xml:space="preserve"> </w:t>
      </w:r>
      <w:r>
        <w:t xml:space="preserve">Fluent (spoken), Intermediate (written)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Russian:</w:t>
      </w:r>
      <w:r>
        <w:t xml:space="preserve"> </w:t>
      </w:r>
      <w:r>
        <w:t xml:space="preserve">Fluent (spoken), Beginner (written)</w:t>
      </w:r>
    </w:p>
    <w:p>
      <w:r>
        <w:pict>
          <v:rect style="width:0;height:1.5pt" o:hralign="center" o:hrstd="t" o:hr="t"/>
        </w:pict>
      </w:r>
    </w:p>
    <w:bookmarkEnd w:id="37"/>
    <w:bookmarkStart w:id="3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advisory, research, or collaborative opportunities in AI ethics, socioaffective alignment, trust &amp; safety, or regulatory compliance: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Cs/>
          <w:b/>
        </w:rPr>
        <w:t xml:space="preserve">paolo.zuffa@gmail.com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Reflective_CBS_v1.pdf" TargetMode="External" /><Relationship Type="http://schemas.openxmlformats.org/officeDocument/2006/relationships/hyperlink" Id="rId24" Target="Reflective_MVP_v1.pdf" TargetMode="External" /><Relationship Type="http://schemas.openxmlformats.org/officeDocument/2006/relationships/hyperlink" Id="rId25" Target="Reflective_Manifesto_v2_short.pdf" TargetMode="External" /><Relationship Type="http://schemas.openxmlformats.org/officeDocument/2006/relationships/hyperlink" Id="rId20" Target="https://orcid.org/0009-0006-3649-6345" TargetMode="External" /><Relationship Type="http://schemas.openxmlformats.org/officeDocument/2006/relationships/hyperlink" Id="rId22" Target="https://ssrn.com/abstract=72026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Reflective_CBS_v1.pdf" TargetMode="External" /><Relationship Type="http://schemas.openxmlformats.org/officeDocument/2006/relationships/hyperlink" Id="rId24" Target="Reflective_MVP_v1.pdf" TargetMode="External" /><Relationship Type="http://schemas.openxmlformats.org/officeDocument/2006/relationships/hyperlink" Id="rId25" Target="Reflective_Manifesto_v2_short.pdf" TargetMode="External" /><Relationship Type="http://schemas.openxmlformats.org/officeDocument/2006/relationships/hyperlink" Id="rId20" Target="https://orcid.org/0009-0006-3649-6345" TargetMode="External" /><Relationship Type="http://schemas.openxmlformats.org/officeDocument/2006/relationships/hyperlink" Id="rId22" Target="https://ssrn.com/abstract=72026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2026-08-04T15:45:35Z</dcterms:created>
  <dcterms:modified xsi:type="dcterms:W3CDTF">2026-08-04T15:45:35Z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