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재무 현황 및 자금 계획 (Financial Status)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1. 매출 현황 (2024년 추정)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PoC(기술 검증) 매출: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대기업 3개사와 유료 PoC 진행 중 (총 1.5억 원).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SaaS 구독 매출: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2025년 상반기 정식 런칭 후 월 반복 매출(MRR) 5,000만 원 달성 목표.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2. 투자 유치 현황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Seed: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[VC 이름/엔젤 투자자]로부터 5억 원 유치 완료 (기업가치 50억 원 Post-money).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Series A 계획: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2025년 3분기, 제품 확장 및 글로벌 진출을 위해 30억 원 규모 라운드 오픈 예정.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3. 자금 사용 계획 (Use of Funds)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R&amp;D (60%):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인공지능 모델 고도화 및 데이터 사이언티스트 핵심 인력 충원.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Marketing (25%):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B2B 컨퍼런스 참가 및 세일즈 파이프라인 구축.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Operations (15%):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클라우드 인프라 비용 및 사무 환경 구축.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